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953"/>
        <w:jc w:val="center"/>
        <w:rPr>
          <w:b w:val="0"/>
          <w:sz w:val="22"/>
          <w:szCs w:val="22"/>
        </w:rPr>
      </w:pPr>
      <w:r>
        <w:rPr>
          <w:b w:val="0"/>
          <w:sz w:val="22"/>
          <w:szCs w:val="22"/>
        </w:rPr>
      </w:r>
      <w:r>
        <w:rPr>
          <w:b w:val="0"/>
          <w:sz w:val="22"/>
          <w:szCs w:val="22"/>
        </w:rPr>
      </w:r>
      <w:r>
        <w:rPr>
          <w:b w:val="0"/>
          <w:sz w:val="22"/>
          <w:szCs w:val="22"/>
        </w:rPr>
      </w:r>
    </w:p>
    <w:p>
      <w:pPr>
        <w:pStyle w:val="953"/>
        <w:jc w:val="center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 xml:space="preserve">ПРОТОКОЛ </w:t>
      </w:r>
      <w:r>
        <w:rPr>
          <w:b w:val="0"/>
          <w:sz w:val="22"/>
          <w:szCs w:val="22"/>
        </w:rPr>
        <w:t xml:space="preserve">№ </w:t>
      </w:r>
      <w:r>
        <w:rPr>
          <w:sz w:val="22"/>
          <w:szCs w:val="22"/>
        </w:rPr>
        <w:t xml:space="preserve">251100-3</w:t>
      </w:r>
      <w:r>
        <w:rPr>
          <w:b w:val="0"/>
          <w:sz w:val="22"/>
          <w:szCs w:val="22"/>
        </w:rPr>
      </w:r>
      <w:r>
        <w:rPr>
          <w:b w:val="0"/>
          <w:sz w:val="22"/>
          <w:szCs w:val="22"/>
        </w:rPr>
      </w:r>
    </w:p>
    <w:p>
      <w:pPr>
        <w:pStyle w:val="949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очного заседания Закупочной комиссии по рассмотрению, оценке поступивших заявок участников и подведению итогов по предварительному отбору в электронной форме на электронной торговой площадке </w:t>
      </w:r>
      <w:r>
        <w:rPr>
          <w:sz w:val="22"/>
          <w:szCs w:val="22"/>
        </w:rPr>
        <w:fldChar w:fldCharType="begin"/>
      </w:r>
      <w:r>
        <w:rPr>
          <w:sz w:val="22"/>
          <w:szCs w:val="22"/>
        </w:rPr>
        <w:instrText xml:space="preserve"> HYPERLINK "https://tender.lot-online.ru/" </w:instrText>
      </w:r>
      <w:r>
        <w:rPr>
          <w:sz w:val="22"/>
          <w:szCs w:val="22"/>
        </w:rPr>
        <w:fldChar w:fldCharType="separate"/>
      </w:r>
      <w:r>
        <w:rPr>
          <w:rStyle w:val="958"/>
          <w:color w:val="000000"/>
          <w:sz w:val="22"/>
          <w:szCs w:val="22"/>
        </w:rPr>
        <w:t xml:space="preserve">https://tender.lot-online.ru/</w:t>
      </w:r>
      <w:r>
        <w:rPr>
          <w:sz w:val="22"/>
          <w:szCs w:val="22"/>
        </w:rPr>
        <w:fldChar w:fldCharType="end"/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65"/>
        <w:ind w:left="0" w:right="168" w:firstLine="0"/>
        <w:jc w:val="left"/>
        <w:spacing w:line="240" w:lineRule="auto"/>
        <w:tabs>
          <w:tab w:val="clear" w:pos="1134" w:leader="none"/>
        </w:tabs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tbl>
      <w:tblPr>
        <w:tblW w:w="10598" w:type="dxa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1951"/>
        <w:gridCol w:w="2976"/>
        <w:gridCol w:w="5671"/>
      </w:tblGrid>
      <w:tr>
        <w:tblPrEx/>
        <w:trPr/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927" w:type="dxa"/>
            <w:vAlign w:val="top"/>
            <w:textDirection w:val="lrTb"/>
            <w:noWrap w:val="false"/>
          </w:tcPr>
          <w:p>
            <w:pPr>
              <w:pStyle w:val="949"/>
              <w:ind w:right="168"/>
              <w:spacing w:line="24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г. Санкт-Петербург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671" w:type="dxa"/>
            <w:vAlign w:val="center"/>
            <w:textDirection w:val="lrTb"/>
            <w:noWrap w:val="false"/>
          </w:tcPr>
          <w:p>
            <w:pPr>
              <w:pStyle w:val="949"/>
              <w:spacing w:line="24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</w:t>
            </w:r>
            <w:r>
              <w:rPr>
                <w:sz w:val="22"/>
                <w:szCs w:val="22"/>
              </w:rPr>
              <w:t xml:space="preserve">Дата составления протокола: </w:t>
            </w:r>
            <w:r>
              <w:rPr>
                <w:sz w:val="22"/>
                <w:szCs w:val="22"/>
              </w:rPr>
              <w:t xml:space="preserve">10</w:t>
            </w:r>
            <w:r>
              <w:rPr>
                <w:sz w:val="22"/>
                <w:szCs w:val="22"/>
              </w:rPr>
              <w:t xml:space="preserve">.0</w:t>
            </w:r>
            <w:r>
              <w:rPr>
                <w:sz w:val="22"/>
                <w:szCs w:val="22"/>
              </w:rPr>
              <w:t xml:space="preserve">4.2</w:t>
            </w:r>
            <w:r>
              <w:rPr>
                <w:sz w:val="22"/>
                <w:szCs w:val="22"/>
              </w:rPr>
              <w:t xml:space="preserve">02</w:t>
            </w:r>
            <w:r>
              <w:rPr>
                <w:sz w:val="22"/>
                <w:szCs w:val="22"/>
              </w:rPr>
              <w:t xml:space="preserve">5 г.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949"/>
              <w:spacing w:line="24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</w:t>
            </w:r>
            <w:r>
              <w:rPr>
                <w:sz w:val="22"/>
                <w:szCs w:val="22"/>
              </w:rPr>
              <w:t xml:space="preserve">Дата подписания протокола: </w:t>
            </w:r>
            <w:r>
              <w:rPr>
                <w:sz w:val="22"/>
                <w:szCs w:val="22"/>
              </w:rPr>
              <w:t xml:space="preserve">1</w:t>
            </w:r>
            <w:r>
              <w:rPr>
                <w:sz w:val="22"/>
                <w:szCs w:val="22"/>
              </w:rPr>
              <w:t xml:space="preserve">0.0</w:t>
            </w:r>
            <w:r>
              <w:rPr>
                <w:sz w:val="22"/>
                <w:szCs w:val="22"/>
              </w:rPr>
              <w:t xml:space="preserve">4.202</w:t>
            </w:r>
            <w:r>
              <w:rPr>
                <w:sz w:val="22"/>
                <w:szCs w:val="22"/>
              </w:rPr>
              <w:t xml:space="preserve">5 </w:t>
            </w:r>
            <w:r>
              <w:rPr>
                <w:sz w:val="22"/>
                <w:szCs w:val="22"/>
              </w:rPr>
              <w:t xml:space="preserve">г.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57"/>
        </w:trPr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927" w:type="dxa"/>
            <w:vAlign w:val="top"/>
            <w:textDirection w:val="lrTb"/>
            <w:noWrap w:val="false"/>
          </w:tcPr>
          <w:p>
            <w:pPr>
              <w:pStyle w:val="949"/>
              <w:ind w:right="168"/>
              <w:spacing w:line="24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671" w:type="dxa"/>
            <w:vAlign w:val="top"/>
            <w:textDirection w:val="lrTb"/>
            <w:noWrap w:val="false"/>
          </w:tcPr>
          <w:p>
            <w:pPr>
              <w:pStyle w:val="949"/>
              <w:ind w:right="168"/>
              <w:spacing w:line="24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  <w:trHeight w:val="2768"/>
        </w:trPr>
        <w:tc>
          <w:tcPr>
            <w:tcBorders>
              <w:bottom w:val="single" w:color="000000" w:sz="4" w:space="0"/>
            </w:tcBorders>
            <w:tcW w:w="1951" w:type="dxa"/>
            <w:vAlign w:val="top"/>
            <w:textDirection w:val="lrTb"/>
            <w:noWrap w:val="false"/>
          </w:tcPr>
          <w:p>
            <w:pPr>
              <w:pStyle w:val="951"/>
              <w:ind w:right="34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Предмет предварительного отбора: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gridSpan w:val="2"/>
            <w:tcBorders>
              <w:bottom w:val="single" w:color="000000" w:sz="4" w:space="0"/>
            </w:tcBorders>
            <w:tcW w:w="8647" w:type="dxa"/>
            <w:vAlign w:val="center"/>
            <w:textDirection w:val="lrTb"/>
            <w:noWrap w:val="false"/>
          </w:tcPr>
          <w:p>
            <w:pPr>
              <w:pStyle w:val="949"/>
              <w:jc w:val="both"/>
              <w:rPr>
                <w:b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 xml:space="preserve">На право заключения рамочного соглашения на выполнение проектно-изыскательских работ, строительно-монтажных работ (с поставкой оборудования) и полного комплекса проектно-изыскательских и строительно-монтажных работ на электросетевых объектах</w:t>
            </w:r>
            <w:r>
              <w:rPr>
                <w:b w:val="0"/>
                <w:bCs w:val="0"/>
                <w:sz w:val="22"/>
                <w:szCs w:val="22"/>
              </w:rPr>
              <w:t xml:space="preserve"> в целях технологического присоединения энергопринимающих устройств заявителей, повышения надежности электросетевого комплекса, осуществление мероприятий для исполнения обязательств по сносу и восстановлению электросетевых объектов, попадающих в зону произ</w:t>
            </w:r>
            <w:r>
              <w:rPr>
                <w:b w:val="0"/>
                <w:bCs w:val="0"/>
                <w:sz w:val="22"/>
                <w:szCs w:val="22"/>
              </w:rPr>
              <w:t xml:space="preserve">водства работ третьих лиц, а так же выполнение мероприятий на электросетевых объектах в целях реализации дополнительных услуг по филиалу ПАО «Россети Ленэнерго» «Новоладожские электрические сети» - общим объемом работ не более 4 081 351 553,76 руб. с НДС. </w:t>
            </w:r>
            <w:r>
              <w:rPr>
                <w:b w:val="0"/>
                <w:bCs w:val="0"/>
                <w:sz w:val="22"/>
                <w:szCs w:val="22"/>
              </w:rPr>
              <w:t xml:space="preserve">(2511</w:t>
            </w:r>
            <w:r>
              <w:rPr>
                <w:b w:val="0"/>
                <w:bCs w:val="0"/>
                <w:sz w:val="22"/>
                <w:szCs w:val="22"/>
              </w:rPr>
              <w:t xml:space="preserve">00</w:t>
            </w:r>
            <w:r>
              <w:rPr>
                <w:b w:val="0"/>
                <w:bCs w:val="0"/>
                <w:sz w:val="22"/>
                <w:szCs w:val="22"/>
              </w:rPr>
              <w:t xml:space="preserve">)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</w:tr>
    </w:tbl>
    <w:p>
      <w:pPr>
        <w:pStyle w:val="949"/>
        <w:jc w:val="both"/>
        <w:keepLines/>
        <w:keepNext/>
        <w:widowControl w:val="off"/>
        <w:rPr>
          <w:sz w:val="22"/>
          <w:szCs w:val="22"/>
        </w:rPr>
        <w:suppressLineNumbers/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49"/>
        <w:jc w:val="both"/>
        <w:rPr>
          <w:b/>
          <w:sz w:val="22"/>
          <w:szCs w:val="22"/>
        </w:rPr>
      </w:pPr>
      <w:r>
        <w:rPr>
          <w:sz w:val="22"/>
          <w:szCs w:val="22"/>
        </w:rPr>
        <w:t xml:space="preserve">Повестка дня: Рассмотрение, оценка поступивших заявок участников и подведение итогов по предварительному отбору в электронной форме на электронной торговой площадке </w:t>
      </w:r>
      <w:r>
        <w:rPr>
          <w:sz w:val="22"/>
          <w:szCs w:val="22"/>
        </w:rPr>
        <w:fldChar w:fldCharType="begin"/>
      </w:r>
      <w:r>
        <w:rPr>
          <w:sz w:val="22"/>
          <w:szCs w:val="22"/>
        </w:rPr>
        <w:instrText xml:space="preserve"> HYPERLINK "https://tender.lot-online.ru/" </w:instrText>
      </w:r>
      <w:r>
        <w:rPr>
          <w:sz w:val="22"/>
          <w:szCs w:val="22"/>
        </w:rPr>
        <w:fldChar w:fldCharType="separate"/>
      </w:r>
      <w:r>
        <w:rPr>
          <w:rStyle w:val="958"/>
          <w:color w:val="000000"/>
          <w:sz w:val="22"/>
          <w:szCs w:val="22"/>
        </w:rPr>
        <w:t xml:space="preserve">https://tender.lot-online.ru/</w:t>
      </w:r>
      <w:r>
        <w:rPr>
          <w:sz w:val="22"/>
          <w:szCs w:val="22"/>
        </w:rPr>
        <w:fldChar w:fldCharType="end"/>
      </w:r>
      <w:r>
        <w:rPr>
          <w:sz w:val="22"/>
          <w:szCs w:val="22"/>
        </w:rPr>
        <w:t xml:space="preserve"> </w:t>
      </w:r>
      <w:r>
        <w:rPr>
          <w:b w:val="0"/>
          <w:bCs w:val="0"/>
          <w:sz w:val="22"/>
          <w:szCs w:val="22"/>
        </w:rPr>
        <w:t xml:space="preserve">На право заключения рамочного соглашения на выполнение проектно-изыскательских работ, строительно-монтажных работ (с поставкой оборудования) и полного комплекса проектно-изыскательских и строительно-монтажных работ на электросетевых объектах</w:t>
      </w:r>
      <w:r>
        <w:rPr>
          <w:b w:val="0"/>
          <w:bCs w:val="0"/>
          <w:sz w:val="22"/>
          <w:szCs w:val="22"/>
        </w:rPr>
        <w:t xml:space="preserve"> в целях технологического присоединения энергопринимающих устройств заявителей, повышения надежности электросетевого комплекса, осуществление мероприятий для исполнения обязательств по сносу и восстановлению электросетевых объектов, попадающих в зону произ</w:t>
      </w:r>
      <w:r>
        <w:rPr>
          <w:b w:val="0"/>
          <w:bCs w:val="0"/>
          <w:sz w:val="22"/>
          <w:szCs w:val="22"/>
        </w:rPr>
        <w:t xml:space="preserve">водства работ третьих лиц, а так же выполнение мероприятий на электросетевых объектах в целях реализации дополнительных услуг по филиалу ПАО «Россети Ленэнерго» «Новоладожские электрические сети» - общим объемом работ не более 4 081 351 553,76 руб. с НДС. </w:t>
      </w:r>
      <w:r>
        <w:rPr>
          <w:b w:val="0"/>
          <w:bCs w:val="0"/>
          <w:sz w:val="22"/>
          <w:szCs w:val="22"/>
        </w:rPr>
        <w:t xml:space="preserve">(2511</w:t>
      </w:r>
      <w:r>
        <w:rPr>
          <w:b w:val="0"/>
          <w:bCs w:val="0"/>
          <w:sz w:val="22"/>
          <w:szCs w:val="22"/>
        </w:rPr>
        <w:t xml:space="preserve">00</w:t>
      </w:r>
      <w:r>
        <w:rPr>
          <w:b w:val="0"/>
          <w:bCs w:val="0"/>
          <w:sz w:val="22"/>
          <w:szCs w:val="22"/>
        </w:rPr>
        <w:t xml:space="preserve">)</w:t>
      </w:r>
      <w:r>
        <w:rPr>
          <w:b/>
          <w:sz w:val="22"/>
          <w:szCs w:val="22"/>
        </w:rPr>
      </w:r>
      <w:r>
        <w:rPr>
          <w:b/>
          <w:sz w:val="22"/>
          <w:szCs w:val="22"/>
        </w:rPr>
      </w:r>
    </w:p>
    <w:p>
      <w:pPr>
        <w:jc w:val="both"/>
        <w:keepLines/>
        <w:keepNext/>
        <w:widowControl w:val="off"/>
        <w:rPr>
          <w:b w:val="0"/>
          <w:bCs w:val="0"/>
          <w:sz w:val="22"/>
          <w:szCs w:val="22"/>
        </w:rPr>
        <w:suppressLineNumbers/>
      </w:pPr>
      <w:r>
        <w:rPr>
          <w:b w:val="0"/>
          <w:bCs w:val="0"/>
          <w:sz w:val="22"/>
          <w:szCs w:val="22"/>
        </w:rPr>
      </w:r>
      <w:r>
        <w:rPr>
          <w:b w:val="0"/>
          <w:bCs w:val="0"/>
          <w:sz w:val="22"/>
          <w:szCs w:val="22"/>
        </w:rPr>
      </w:r>
      <w:r>
        <w:rPr>
          <w:b w:val="0"/>
          <w:bCs w:val="0"/>
          <w:sz w:val="22"/>
          <w:szCs w:val="22"/>
        </w:rPr>
      </w:r>
    </w:p>
    <w:p>
      <w:pPr>
        <w:pStyle w:val="949"/>
        <w:ind w:left="900" w:right="168"/>
        <w:rPr>
          <w:sz w:val="22"/>
          <w:szCs w:val="22"/>
        </w:rPr>
      </w:pPr>
      <w:r>
        <w:rPr>
          <w:sz w:val="22"/>
          <w:szCs w:val="22"/>
        </w:rPr>
        <w:t xml:space="preserve">Дата заседания комиссии: </w:t>
      </w:r>
      <w:r>
        <w:rPr>
          <w:sz w:val="22"/>
          <w:szCs w:val="22"/>
        </w:rPr>
        <w:t xml:space="preserve">10</w:t>
      </w:r>
      <w:r>
        <w:rPr>
          <w:sz w:val="22"/>
          <w:szCs w:val="22"/>
        </w:rPr>
        <w:t xml:space="preserve">.0</w:t>
      </w:r>
      <w:r>
        <w:rPr>
          <w:sz w:val="22"/>
          <w:szCs w:val="22"/>
        </w:rPr>
        <w:t xml:space="preserve">4.202</w:t>
      </w:r>
      <w:r>
        <w:rPr>
          <w:sz w:val="22"/>
          <w:szCs w:val="22"/>
        </w:rPr>
        <w:t xml:space="preserve">5 </w:t>
      </w:r>
      <w:r>
        <w:rPr>
          <w:sz w:val="22"/>
          <w:szCs w:val="22"/>
        </w:rPr>
        <w:t xml:space="preserve">г.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49"/>
        <w:ind w:left="900" w:right="168"/>
        <w:rPr>
          <w:sz w:val="22"/>
          <w:szCs w:val="22"/>
        </w:rPr>
      </w:pPr>
      <w:r>
        <w:rPr>
          <w:sz w:val="22"/>
          <w:szCs w:val="22"/>
        </w:rPr>
        <w:t xml:space="preserve">Кворум имеется. Комиссия правомочна.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49"/>
        <w:ind w:left="900" w:right="168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49"/>
        <w:numPr>
          <w:ilvl w:val="0"/>
          <w:numId w:val="2"/>
        </w:numPr>
        <w:ind w:right="168"/>
        <w:rPr>
          <w:sz w:val="22"/>
          <w:szCs w:val="22"/>
        </w:rPr>
      </w:pPr>
      <w:r>
        <w:rPr>
          <w:sz w:val="22"/>
          <w:szCs w:val="22"/>
        </w:rPr>
        <w:t xml:space="preserve">Общая информация о закупке: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49"/>
        <w:numPr>
          <w:ilvl w:val="0"/>
          <w:numId w:val="3"/>
        </w:numPr>
        <w:ind w:left="0"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Основание проведения закупочной процедуры: </w:t>
      </w:r>
      <w:r>
        <w:rPr>
          <w:sz w:val="22"/>
          <w:szCs w:val="22"/>
        </w:rPr>
        <w:t xml:space="preserve">В соответствии с приказом ПАО «Россети Ленэнерго» от 26.12.2024 № 835 «Об утверждении Плана з</w:t>
      </w:r>
      <w:r>
        <w:rPr>
          <w:sz w:val="22"/>
          <w:szCs w:val="22"/>
        </w:rPr>
        <w:t xml:space="preserve">акупки товаров, работ, услуг ПАО «Россети Ленэнерго» на 2025 год», Единым стандартом закупок ПАО «Россети» (Положение о закупке), решение о присоединении к которому принято Советом директоров ПАО «Россети Ленэнерго» 01.02.2023 (протокол от 02.02.2023 №44)</w:t>
      </w:r>
      <w:r>
        <w:rPr>
          <w:sz w:val="22"/>
          <w:szCs w:val="22"/>
        </w:rPr>
        <w:t xml:space="preserve">.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49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Извещение </w:t>
      </w:r>
      <w:r>
        <w:rPr>
          <w:sz w:val="22"/>
          <w:szCs w:val="22"/>
        </w:rPr>
        <w:t xml:space="preserve">от 28.03.2024 г. о проведении предварительного отбора, документация о закупке опубликованы 29.03.2024 г. на официальном сайте (</w:t>
      </w:r>
      <w:r>
        <w:rPr>
          <w:sz w:val="22"/>
          <w:szCs w:val="22"/>
        </w:rPr>
        <w:fldChar w:fldCharType="begin"/>
      </w:r>
      <w:r>
        <w:rPr>
          <w:sz w:val="22"/>
          <w:szCs w:val="22"/>
        </w:rPr>
        <w:instrText xml:space="preserve">HYPERLINK "http://www.zakupki.gov.ru"</w:instrText>
      </w:r>
      <w:r>
        <w:rPr>
          <w:sz w:val="22"/>
          <w:szCs w:val="22"/>
        </w:rPr>
        <w:fldChar w:fldCharType="separate"/>
      </w:r>
      <w:r>
        <w:rPr>
          <w:rStyle w:val="958"/>
          <w:sz w:val="22"/>
          <w:szCs w:val="22"/>
        </w:rPr>
        <w:t xml:space="preserve">www.zakupki.</w:t>
      </w:r>
      <w:r>
        <w:rPr>
          <w:rStyle w:val="958"/>
          <w:sz w:val="22"/>
          <w:szCs w:val="22"/>
          <w:lang w:val="en-US"/>
        </w:rPr>
        <w:t xml:space="preserve">gov</w:t>
      </w:r>
      <w:r>
        <w:rPr>
          <w:rStyle w:val="958"/>
          <w:sz w:val="22"/>
          <w:szCs w:val="22"/>
        </w:rPr>
        <w:t xml:space="preserve">.ru</w:t>
      </w:r>
      <w:r>
        <w:rPr>
          <w:sz w:val="22"/>
          <w:szCs w:val="22"/>
        </w:rPr>
        <w:fldChar w:fldCharType="end"/>
      </w:r>
      <w:r>
        <w:rPr>
          <w:sz w:val="22"/>
          <w:szCs w:val="22"/>
        </w:rPr>
        <w:t xml:space="preserve">),</w:t>
      </w:r>
      <w:r>
        <w:rPr>
          <w:iCs/>
          <w:sz w:val="22"/>
          <w:szCs w:val="22"/>
        </w:rPr>
        <w:t xml:space="preserve"> </w:t>
      </w:r>
      <w:r>
        <w:rPr>
          <w:sz w:val="22"/>
          <w:szCs w:val="22"/>
        </w:rPr>
        <w:t xml:space="preserve">на сайте ЭТП </w:t>
      </w:r>
      <w:r>
        <w:rPr>
          <w:sz w:val="22"/>
          <w:szCs w:val="22"/>
        </w:rPr>
        <w:fldChar w:fldCharType="begin"/>
      </w:r>
      <w:r>
        <w:rPr>
          <w:sz w:val="22"/>
          <w:szCs w:val="22"/>
        </w:rPr>
        <w:instrText xml:space="preserve"> HYPERLINK "https://www.msp.roseltorg.ru/" </w:instrText>
      </w:r>
      <w:r>
        <w:rPr>
          <w:sz w:val="22"/>
          <w:szCs w:val="22"/>
        </w:rPr>
        <w:fldChar w:fldCharType="separate"/>
      </w:r>
      <w:r>
        <w:rPr>
          <w:rStyle w:val="958"/>
          <w:sz w:val="22"/>
          <w:szCs w:val="22"/>
        </w:rPr>
        <w:fldChar w:fldCharType="begin"/>
      </w:r>
      <w:r>
        <w:rPr>
          <w:rStyle w:val="958"/>
          <w:sz w:val="22"/>
          <w:szCs w:val="22"/>
        </w:rPr>
        <w:instrText xml:space="preserve"> HYPERLINK "https://tender.lot-online.ru/" </w:instrText>
      </w:r>
      <w:r>
        <w:rPr>
          <w:rStyle w:val="958"/>
          <w:sz w:val="22"/>
          <w:szCs w:val="22"/>
        </w:rPr>
        <w:fldChar w:fldCharType="separate"/>
      </w:r>
      <w:r>
        <w:rPr>
          <w:rStyle w:val="958"/>
          <w:sz w:val="22"/>
          <w:szCs w:val="22"/>
        </w:rPr>
        <w:t xml:space="preserve">https://tender.lot-online.ru/</w:t>
      </w:r>
      <w:r>
        <w:rPr>
          <w:rStyle w:val="958"/>
          <w:sz w:val="22"/>
          <w:szCs w:val="22"/>
        </w:rPr>
        <w:fldChar w:fldCharType="end"/>
      </w:r>
      <w:r>
        <w:rPr>
          <w:sz w:val="22"/>
          <w:szCs w:val="22"/>
        </w:rPr>
        <w:fldChar w:fldCharType="end"/>
      </w:r>
      <w:r>
        <w:rPr>
          <w:sz w:val="22"/>
          <w:szCs w:val="22"/>
        </w:rPr>
        <w:t xml:space="preserve">.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49"/>
        <w:numPr>
          <w:ilvl w:val="0"/>
          <w:numId w:val="3"/>
        </w:numPr>
        <w:ind w:left="0"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Согласно процедуре электронных торгов на электронной торговой площадке </w:t>
      </w:r>
      <w:r>
        <w:rPr>
          <w:sz w:val="22"/>
          <w:szCs w:val="22"/>
        </w:rPr>
        <w:fldChar w:fldCharType="begin"/>
      </w:r>
      <w:r>
        <w:rPr>
          <w:sz w:val="22"/>
          <w:szCs w:val="22"/>
        </w:rPr>
        <w:instrText xml:space="preserve"> HYPERLINK "https://www.msp.roseltorg.ru/" </w:instrText>
      </w:r>
      <w:r>
        <w:rPr>
          <w:sz w:val="22"/>
          <w:szCs w:val="22"/>
        </w:rPr>
        <w:fldChar w:fldCharType="separate"/>
        <w:fldChar w:fldCharType="begin"/>
      </w:r>
      <w:r>
        <w:rPr>
          <w:sz w:val="22"/>
          <w:szCs w:val="22"/>
        </w:rPr>
        <w:instrText xml:space="preserve"> HYPERLINK "https://tender.lot-online.ru/" </w:instrText>
      </w:r>
      <w:r>
        <w:rPr>
          <w:sz w:val="22"/>
          <w:szCs w:val="22"/>
        </w:rPr>
        <w:fldChar w:fldCharType="separate"/>
      </w:r>
      <w:r>
        <w:rPr>
          <w:rStyle w:val="958"/>
          <w:color w:val="000000"/>
          <w:sz w:val="22"/>
          <w:szCs w:val="22"/>
        </w:rPr>
        <w:t xml:space="preserve">https://tender.lot-online.ru/</w:t>
      </w:r>
      <w:r>
        <w:rPr>
          <w:rStyle w:val="958"/>
          <w:color w:val="000000"/>
          <w:sz w:val="22"/>
          <w:szCs w:val="22"/>
        </w:rPr>
        <w:fldChar w:fldCharType="end"/>
        <w:fldChar w:fldCharType="end"/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от 29.03.2024 г. объявление № </w:t>
      </w:r>
      <w:r>
        <w:rPr>
          <w:rFonts w:ascii="Times New Roman" w:hAnsi="Times New Roman" w:eastAsia="Times New Roman" w:cs="Times New Roman"/>
          <w:color w:val="000000"/>
          <w:sz w:val="22"/>
          <w:szCs w:val="22"/>
          <w:highlight w:val="white"/>
        </w:rPr>
        <w:t xml:space="preserve">LENER25090DP</w:t>
      </w:r>
      <w:r>
        <w:rPr>
          <w:sz w:val="22"/>
          <w:szCs w:val="22"/>
        </w:rPr>
        <w:t xml:space="preserve"> (</w:t>
      </w:r>
      <w:r>
        <w:rPr>
          <w:sz w:val="22"/>
          <w:szCs w:val="22"/>
        </w:rPr>
        <w:t xml:space="preserve">номер извещения на сайте </w:t>
      </w:r>
      <w:r>
        <w:rPr>
          <w:sz w:val="22"/>
          <w:szCs w:val="22"/>
          <w:lang w:val="en-US"/>
        </w:rPr>
        <w:fldChar w:fldCharType="begin"/>
      </w:r>
      <w:r>
        <w:rPr>
          <w:sz w:val="22"/>
          <w:szCs w:val="22"/>
        </w:rPr>
        <w:instrText xml:space="preserve"> </w:instrText>
      </w:r>
      <w:r>
        <w:rPr>
          <w:sz w:val="22"/>
          <w:szCs w:val="22"/>
          <w:lang w:val="en-US"/>
        </w:rPr>
        <w:instrText xml:space="preserve">HYPERLINK</w:instrText>
      </w:r>
      <w:r>
        <w:rPr>
          <w:sz w:val="22"/>
          <w:szCs w:val="22"/>
        </w:rPr>
        <w:instrText xml:space="preserve"> "</w:instrText>
      </w:r>
      <w:r>
        <w:rPr>
          <w:sz w:val="22"/>
          <w:szCs w:val="22"/>
          <w:lang w:val="en-US"/>
        </w:rPr>
        <w:instrText xml:space="preserve">http</w:instrText>
      </w:r>
      <w:r>
        <w:rPr>
          <w:sz w:val="22"/>
          <w:szCs w:val="22"/>
        </w:rPr>
        <w:instrText xml:space="preserve">://</w:instrText>
      </w:r>
      <w:r>
        <w:rPr>
          <w:sz w:val="22"/>
          <w:szCs w:val="22"/>
          <w:lang w:val="en-US"/>
        </w:rPr>
        <w:instrText xml:space="preserve">www</w:instrText>
      </w:r>
      <w:r>
        <w:rPr>
          <w:sz w:val="22"/>
          <w:szCs w:val="22"/>
        </w:rPr>
        <w:instrText xml:space="preserve">.</w:instrText>
      </w:r>
      <w:r>
        <w:rPr>
          <w:sz w:val="22"/>
          <w:szCs w:val="22"/>
          <w:lang w:val="en-US"/>
        </w:rPr>
        <w:instrText xml:space="preserve">zakupki</w:instrText>
      </w:r>
      <w:r>
        <w:rPr>
          <w:sz w:val="22"/>
          <w:szCs w:val="22"/>
        </w:rPr>
        <w:instrText xml:space="preserve">.</w:instrText>
      </w:r>
      <w:r>
        <w:rPr>
          <w:sz w:val="22"/>
          <w:szCs w:val="22"/>
          <w:lang w:val="en-US"/>
        </w:rPr>
        <w:instrText xml:space="preserve">gov</w:instrText>
      </w:r>
      <w:r>
        <w:rPr>
          <w:sz w:val="22"/>
          <w:szCs w:val="22"/>
        </w:rPr>
        <w:instrText xml:space="preserve">.</w:instrText>
      </w:r>
      <w:r>
        <w:rPr>
          <w:sz w:val="22"/>
          <w:szCs w:val="22"/>
          <w:lang w:val="en-US"/>
        </w:rPr>
        <w:instrText xml:space="preserve">ru</w:instrText>
      </w:r>
      <w:r>
        <w:rPr>
          <w:sz w:val="22"/>
          <w:szCs w:val="22"/>
        </w:rPr>
        <w:instrText xml:space="preserve">/223" </w:instrText>
      </w:r>
      <w:r>
        <w:rPr>
          <w:sz w:val="22"/>
          <w:szCs w:val="22"/>
          <w:lang w:val="en-US"/>
        </w:rPr>
        <w:fldChar w:fldCharType="separate"/>
      </w:r>
      <w:r>
        <w:rPr>
          <w:rStyle w:val="958"/>
          <w:sz w:val="22"/>
          <w:szCs w:val="22"/>
          <w:lang w:val="en-US"/>
        </w:rPr>
        <w:t xml:space="preserve">www</w:t>
      </w:r>
      <w:r>
        <w:rPr>
          <w:rStyle w:val="958"/>
          <w:sz w:val="22"/>
          <w:szCs w:val="22"/>
        </w:rPr>
        <w:t xml:space="preserve">.</w:t>
      </w:r>
      <w:r>
        <w:rPr>
          <w:rStyle w:val="958"/>
          <w:sz w:val="22"/>
          <w:szCs w:val="22"/>
          <w:lang w:val="en-US"/>
        </w:rPr>
        <w:t xml:space="preserve">zakupki</w:t>
      </w:r>
      <w:r>
        <w:rPr>
          <w:rStyle w:val="958"/>
          <w:sz w:val="22"/>
          <w:szCs w:val="22"/>
        </w:rPr>
        <w:t xml:space="preserve">.</w:t>
      </w:r>
      <w:r>
        <w:rPr>
          <w:rStyle w:val="958"/>
          <w:sz w:val="22"/>
          <w:szCs w:val="22"/>
          <w:lang w:val="en-US"/>
        </w:rPr>
        <w:t xml:space="preserve">gov</w:t>
      </w:r>
      <w:r>
        <w:rPr>
          <w:rStyle w:val="958"/>
          <w:sz w:val="22"/>
          <w:szCs w:val="22"/>
        </w:rPr>
        <w:t xml:space="preserve">.</w:t>
      </w:r>
      <w:r>
        <w:rPr>
          <w:rStyle w:val="958"/>
          <w:sz w:val="22"/>
          <w:szCs w:val="22"/>
          <w:lang w:val="en-US"/>
        </w:rPr>
        <w:t xml:space="preserve">ru</w:t>
      </w:r>
      <w:r>
        <w:rPr>
          <w:sz w:val="22"/>
          <w:szCs w:val="22"/>
        </w:rPr>
        <w:fldChar w:fldCharType="end"/>
      </w:r>
      <w:r>
        <w:rPr>
          <w:sz w:val="22"/>
          <w:szCs w:val="22"/>
        </w:rPr>
        <w:t xml:space="preserve"> № </w:t>
      </w:r>
      <w:r>
        <w:rPr>
          <w:rFonts w:ascii="Times New Roman" w:hAnsi="Times New Roman" w:eastAsia="Times New Roman" w:cs="Times New Roman"/>
          <w:color w:val="000000"/>
          <w:sz w:val="22"/>
          <w:szCs w:val="22"/>
          <w:highlight w:val="white"/>
        </w:rPr>
        <w:t xml:space="preserve">32514557318</w:t>
      </w:r>
      <w:r>
        <w:rPr>
          <w:sz w:val="22"/>
          <w:szCs w:val="22"/>
        </w:rPr>
        <w:t xml:space="preserve">) в качестве участников данного предварительного отбора зарегистрировались следующие участники</w:t>
      </w:r>
      <w:r>
        <w:rPr>
          <w:sz w:val="22"/>
          <w:szCs w:val="22"/>
        </w:rPr>
        <w:t xml:space="preserve">:</w:t>
      </w:r>
      <w:r>
        <w:rPr>
          <w:sz w:val="22"/>
          <w:szCs w:val="22"/>
        </w:rPr>
      </w:r>
      <w:r>
        <w:rPr>
          <w:sz w:val="22"/>
          <w:szCs w:val="22"/>
        </w:rPr>
      </w:r>
    </w:p>
    <w:tbl>
      <w:tblPr>
        <w:tblW w:w="10358" w:type="dxa"/>
        <w:tblInd w:w="0" w:type="dxa"/>
        <w:tblLayout w:type="fixed"/>
        <w:tblCellMar>
          <w:left w:w="100" w:type="dxa"/>
          <w:top w:w="0" w:type="dxa"/>
          <w:right w:w="100" w:type="dxa"/>
          <w:bottom w:w="0" w:type="dxa"/>
        </w:tblCellMar>
        <w:tblLook w:val="04A0" w:firstRow="1" w:lastRow="0" w:firstColumn="1" w:lastColumn="0" w:noHBand="0" w:noVBand="1"/>
      </w:tblPr>
      <w:tblGrid>
        <w:gridCol w:w="1276"/>
        <w:gridCol w:w="3642"/>
        <w:gridCol w:w="5440"/>
      </w:tblGrid>
      <w:tr>
        <w:tblPrEx/>
        <w:trPr>
          <w:cantSplit/>
          <w:trHeight w:val="8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949"/>
              <w:ind w:right="168"/>
              <w:jc w:val="center"/>
              <w:tabs>
                <w:tab w:val="left" w:pos="1725" w:leader="none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t xml:space="preserve">Номер п/п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42" w:type="dxa"/>
            <w:vAlign w:val="center"/>
            <w:textDirection w:val="lrTb"/>
            <w:noWrap w:val="false"/>
          </w:tcPr>
          <w:p>
            <w:pPr>
              <w:pStyle w:val="949"/>
              <w:ind w:right="168"/>
              <w:jc w:val="center"/>
              <w:tabs>
                <w:tab w:val="left" w:pos="1725" w:leader="none"/>
              </w:tabs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t xml:space="preserve">Дата и время регистрации заявки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440" w:type="dxa"/>
            <w:vAlign w:val="center"/>
            <w:textDirection w:val="lrTb"/>
            <w:noWrap w:val="false"/>
          </w:tcPr>
          <w:p>
            <w:pPr>
              <w:pStyle w:val="949"/>
              <w:ind w:right="168"/>
              <w:jc w:val="center"/>
              <w:tabs>
                <w:tab w:val="left" w:pos="1725" w:leader="none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t xml:space="preserve">Участник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предварительного отбора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>
          <w:trHeight w:val="16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pStyle w:val="949"/>
              <w:ind w:right="168"/>
              <w:jc w:val="center"/>
              <w:tabs>
                <w:tab w:val="left" w:pos="1725" w:leader="none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1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4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  <w:t xml:space="preserve">17.03.2025 13:21:52 MCK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44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  <w:t xml:space="preserve">ООО "ЭНЕРГОСТРОЙИНВЕСТ"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>
          <w:trHeight w:val="18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pStyle w:val="949"/>
              <w:ind w:right="168"/>
              <w:jc w:val="center"/>
              <w:tabs>
                <w:tab w:val="left" w:pos="1725" w:leader="none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2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4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  <w:t xml:space="preserve">28.03.2025 09:46:32 MCK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44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 w:val="0"/>
                <w:bCs w:val="0"/>
                <w:i w:val="0"/>
                <w:strike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t xml:space="preserve">Коллективный участник в составе: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</w:rPr>
              <w:t xml:space="preserve">ООО ЭЦ "СП" (лидер),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</w:rPr>
              <w:t xml:space="preserve">ООО "ПАРЛАМЕНТ" (участник)</w:t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strike w:val="0"/>
                <w:color w:val="000000"/>
                <w:sz w:val="22"/>
                <w:szCs w:val="22"/>
                <w:highlight w:val="none"/>
                <w:u w:val="none"/>
              </w:rPr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strike w:val="0"/>
                <w:color w:val="000000"/>
                <w:sz w:val="22"/>
                <w:szCs w:val="22"/>
                <w:highlight w:val="none"/>
                <w:u w:val="none"/>
              </w:rPr>
            </w:r>
          </w:p>
        </w:tc>
      </w:tr>
      <w:tr>
        <w:tblPrEx/>
        <w:trPr>
          <w:trHeight w:val="75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pStyle w:val="949"/>
              <w:ind w:right="168"/>
              <w:jc w:val="center"/>
              <w:tabs>
                <w:tab w:val="left" w:pos="1725" w:leader="none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3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4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  <w:t xml:space="preserve">28.03.2025 13:17:26 MCK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44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</w:rPr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t xml:space="preserve">Коллективный участник в составе: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</w:rPr>
              <w:t xml:space="preserve"> АО "ЭНЕРГОПРОЕКТ-ИНЖИНИРИНГ" (лидер),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</w:rPr>
              <w:t xml:space="preserve">ООО "СЭТ" (участник)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>
          <w:trHeight w:val="14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pStyle w:val="949"/>
              <w:ind w:right="168"/>
              <w:jc w:val="center"/>
              <w:tabs>
                <w:tab w:val="left" w:pos="1725" w:leader="none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4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4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  <w:t xml:space="preserve">28.03.2025 18:38:03 MCK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44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  <w:t xml:space="preserve">ООО "СПЕЦСТРОЙ-ИНЖИНИРИНГ"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>
          <w:trHeight w:val="75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pStyle w:val="949"/>
              <w:ind w:right="168"/>
              <w:jc w:val="center"/>
              <w:tabs>
                <w:tab w:val="left" w:pos="1725" w:leader="none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5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4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  <w:t xml:space="preserve">31.03.2025 09:28:25 MCK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44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</w:rPr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t xml:space="preserve">Коллективный участник в составе: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</w:rPr>
              <w:t xml:space="preserve">ООО "ПЕРВОЕ ПРОФЕССИОНАЛЬНОЕ СООБЩЕСТВО" (лидер),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</w:rPr>
              <w:t xml:space="preserve">ООО "ПЕТРОСТРОЙ-РИТМ" (участник)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</w:tbl>
    <w:p>
      <w:pPr>
        <w:pStyle w:val="949"/>
        <w:ind w:right="168"/>
        <w:jc w:val="both"/>
        <w:tabs>
          <w:tab w:val="left" w:pos="1725" w:leader="none"/>
        </w:tabs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49"/>
        <w:numPr>
          <w:ilvl w:val="0"/>
          <w:numId w:val="3"/>
        </w:numPr>
        <w:ind w:left="0"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Начальная (максимальная) цена договора (рамочного соглашения) (цена закупки) - Ценовой лимит рамочного соглашения</w:t>
      </w:r>
      <w:r>
        <w:rPr>
          <w:rFonts w:eastAsia="Calibri"/>
          <w:sz w:val="22"/>
          <w:szCs w:val="22"/>
        </w:rPr>
        <w:t xml:space="preserve">, руб. с НДС/без НДС</w:t>
      </w:r>
      <w:r>
        <w:rPr>
          <w:sz w:val="22"/>
          <w:szCs w:val="22"/>
        </w:rPr>
        <w:t xml:space="preserve">, Срок действия рамочного соглашения (срок выполнения работ)</w:t>
      </w:r>
      <w:r>
        <w:rPr>
          <w:sz w:val="22"/>
          <w:szCs w:val="22"/>
        </w:rPr>
        <w:t xml:space="preserve">: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49"/>
        <w:ind w:left="709"/>
        <w:jc w:val="both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tbl>
      <w:tblPr>
        <w:tblW w:w="4947" w:type="pct"/>
        <w:jc w:val="center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1E0" w:firstRow="1" w:lastRow="1" w:firstColumn="1" w:lastColumn="1" w:noHBand="0" w:noVBand="0"/>
      </w:tblPr>
      <w:tblGrid>
        <w:gridCol w:w="6310"/>
        <w:gridCol w:w="428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68"/>
        </w:trPr>
        <w:tc>
          <w:tcPr>
            <w:tcW w:w="2979" w:type="pct"/>
            <w:vAlign w:val="center"/>
            <w:textDirection w:val="lrTb"/>
            <w:noWrap w:val="false"/>
          </w:tcPr>
          <w:p>
            <w:pPr>
              <w:pStyle w:val="94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Ценовой лимит рамочного соглашения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021" w:type="pct"/>
            <w:vAlign w:val="center"/>
            <w:textDirection w:val="lrTb"/>
            <w:noWrap w:val="false"/>
          </w:tcPr>
          <w:p>
            <w:pPr>
              <w:pStyle w:val="94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Срок действия рамочного соглашения (срок выпол</w:t>
            </w:r>
            <w:r>
              <w:rPr>
                <w:sz w:val="22"/>
                <w:szCs w:val="22"/>
              </w:rPr>
              <w:t xml:space="preserve">нения работ</w:t>
            </w:r>
            <w:r>
              <w:rPr>
                <w:sz w:val="22"/>
                <w:szCs w:val="22"/>
              </w:rPr>
              <w:t xml:space="preserve">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03"/>
        </w:trPr>
        <w:tc>
          <w:tcPr>
            <w:tcW w:w="2979" w:type="pct"/>
            <w:vAlign w:val="center"/>
            <w:textDirection w:val="lrTb"/>
            <w:noWrap w:val="false"/>
          </w:tcPr>
          <w:p>
            <w:pPr>
              <w:pStyle w:val="94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общим объемом</w:t>
            </w:r>
            <w:r>
              <w:rPr>
                <w:sz w:val="22"/>
                <w:szCs w:val="22"/>
              </w:rPr>
              <w:t xml:space="preserve"> работ не более </w:t>
            </w:r>
            <w:r>
              <w:rPr>
                <w:sz w:val="22"/>
                <w:szCs w:val="22"/>
              </w:rPr>
              <w:t xml:space="preserve">4 081 351 553,76</w:t>
            </w:r>
            <w:r>
              <w:rPr>
                <w:sz w:val="22"/>
                <w:szCs w:val="22"/>
              </w:rPr>
              <w:t xml:space="preserve">  руб. с</w:t>
            </w:r>
            <w:r>
              <w:rPr>
                <w:bCs/>
                <w:color w:val="000000"/>
                <w:sz w:val="22"/>
                <w:szCs w:val="22"/>
              </w:rPr>
              <w:t xml:space="preserve"> НДС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021" w:type="pct"/>
            <w:vAlign w:val="center"/>
            <w:textDirection w:val="lrTb"/>
            <w:noWrap w:val="false"/>
          </w:tcPr>
          <w:p>
            <w:pPr>
              <w:pStyle w:val="94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28</w:t>
            </w:r>
            <w:r>
              <w:rPr>
                <w:sz w:val="22"/>
                <w:szCs w:val="22"/>
              </w:rPr>
              <w:t xml:space="preserve">.04.2025 - 30.12.2026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</w:tbl>
    <w:p>
      <w:pPr>
        <w:pStyle w:val="949"/>
        <w:numPr>
          <w:ilvl w:val="0"/>
          <w:numId w:val="2"/>
        </w:numPr>
        <w:ind w:right="170"/>
        <w:jc w:val="both"/>
        <w:spacing w:after="120"/>
        <w:rPr>
          <w:sz w:val="22"/>
          <w:szCs w:val="22"/>
        </w:rPr>
      </w:pPr>
      <w:r>
        <w:rPr>
          <w:sz w:val="22"/>
          <w:szCs w:val="22"/>
        </w:rPr>
        <w:t xml:space="preserve">Закупоч</w:t>
      </w:r>
      <w:r>
        <w:rPr>
          <w:sz w:val="22"/>
          <w:szCs w:val="22"/>
        </w:rPr>
        <w:t xml:space="preserve">ная</w:t>
      </w:r>
      <w:r>
        <w:rPr>
          <w:sz w:val="22"/>
          <w:szCs w:val="22"/>
        </w:rPr>
        <w:t xml:space="preserve"> комиссия рассмотрела и определила: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49"/>
        <w:ind w:firstLine="53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Сведения общего характера Участников предварительного отбора в электронной форме на электронной торговой площадке </w:t>
      </w:r>
      <w:r>
        <w:rPr>
          <w:sz w:val="22"/>
          <w:szCs w:val="22"/>
        </w:rPr>
        <w:fldChar w:fldCharType="begin"/>
      </w:r>
      <w:r>
        <w:rPr>
          <w:sz w:val="22"/>
          <w:szCs w:val="22"/>
        </w:rPr>
        <w:instrText xml:space="preserve"> HYPERLINK "https://tender.lot-online.ru/" </w:instrText>
      </w:r>
      <w:r>
        <w:rPr>
          <w:sz w:val="22"/>
          <w:szCs w:val="22"/>
        </w:rPr>
        <w:fldChar w:fldCharType="separate"/>
      </w:r>
      <w:r>
        <w:rPr>
          <w:rStyle w:val="958"/>
          <w:color w:val="000000"/>
          <w:sz w:val="22"/>
          <w:szCs w:val="22"/>
        </w:rPr>
        <w:t xml:space="preserve">https://tender.lot-online.ru/</w:t>
      </w:r>
      <w:r>
        <w:rPr>
          <w:sz w:val="22"/>
          <w:szCs w:val="22"/>
        </w:rPr>
        <w:fldChar w:fldCharType="end"/>
      </w:r>
      <w:r>
        <w:rPr>
          <w:sz w:val="22"/>
          <w:szCs w:val="22"/>
        </w:rPr>
        <w:t xml:space="preserve"> по анализу поступивших заявок.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49"/>
        <w:ind w:firstLine="539"/>
        <w:jc w:val="both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49"/>
        <w:numPr>
          <w:ilvl w:val="0"/>
          <w:numId w:val="4"/>
        </w:numPr>
        <w:ind w:left="0" w:firstLine="567"/>
        <w:jc w:val="both"/>
        <w:tabs>
          <w:tab w:val="left" w:pos="1276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Срок выполнения работ (срок действия рамочного соглашения):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49"/>
        <w:ind w:left="567"/>
        <w:jc w:val="both"/>
        <w:tabs>
          <w:tab w:val="left" w:pos="1276" w:leader="none"/>
        </w:tabs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tbl>
      <w:tblPr>
        <w:tblW w:w="10491" w:type="dxa"/>
        <w:jc w:val="center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569"/>
        <w:gridCol w:w="4393"/>
        <w:gridCol w:w="1986"/>
        <w:gridCol w:w="1842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  <w:trHeight w:val="1762"/>
          <w:tblHeader/>
        </w:trPr>
        <w:tc>
          <w:tcPr>
            <w:tcW w:w="569" w:type="dxa"/>
            <w:vAlign w:val="center"/>
            <w:textDirection w:val="lrTb"/>
            <w:noWrap w:val="false"/>
          </w:tcPr>
          <w:p>
            <w:pPr>
              <w:pStyle w:val="962"/>
              <w:ind w:right="34"/>
              <w:jc w:val="center"/>
              <w:tabs>
                <w:tab w:val="clear" w:pos="4536" w:leader="none"/>
                <w:tab w:val="left" w:pos="9639" w:leader="none"/>
              </w:tabs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Номер п/п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4393" w:type="dxa"/>
            <w:vAlign w:val="center"/>
            <w:textDirection w:val="lrTb"/>
            <w:noWrap w:val="false"/>
          </w:tcPr>
          <w:p>
            <w:pPr>
              <w:pStyle w:val="95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Участник предварительного отбора в электронной форме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986" w:type="dxa"/>
            <w:vAlign w:val="center"/>
            <w:textDirection w:val="lrTb"/>
            <w:noWrap w:val="false"/>
          </w:tcPr>
          <w:p>
            <w:pPr>
              <w:pStyle w:val="95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Срок выполнения работ (срок действия рамочного соглашения) в соответствии с документацией о закупке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95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Срок выполнения работ (срок действия рамочного соглашения), предложенный участником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pStyle w:val="94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Вывод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  <w:trHeight w:val="498"/>
        </w:trPr>
        <w:tc>
          <w:tcPr>
            <w:tcW w:w="569" w:type="dxa"/>
            <w:vAlign w:val="center"/>
            <w:textDirection w:val="lrTb"/>
            <w:noWrap w:val="false"/>
          </w:tcPr>
          <w:p>
            <w:pPr>
              <w:pStyle w:val="962"/>
              <w:ind w:left="113" w:right="0"/>
              <w:jc w:val="center"/>
              <w:tabs>
                <w:tab w:val="clear" w:pos="4536" w:leader="none"/>
                <w:tab w:val="left" w:pos="9639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9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</w:rPr>
              <w:t xml:space="preserve">ООО "ЭНЕРГОСТРОЙИНВЕСТ"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1986" w:type="dxa"/>
            <w:vAlign w:val="center"/>
            <w:vMerge w:val="restart"/>
            <w:textDirection w:val="lrTb"/>
            <w:noWrap w:val="false"/>
          </w:tcPr>
          <w:p>
            <w:pPr>
              <w:pStyle w:val="94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28</w:t>
            </w:r>
            <w:r>
              <w:rPr>
                <w:sz w:val="22"/>
                <w:szCs w:val="22"/>
              </w:rPr>
              <w:t xml:space="preserve">.04.2025 - 30.12.2026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94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94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28</w:t>
            </w:r>
            <w:r>
              <w:rPr>
                <w:sz w:val="22"/>
                <w:szCs w:val="22"/>
              </w:rPr>
              <w:t xml:space="preserve">.04.2025 - 30.12.2026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94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pStyle w:val="949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Соответствует</w:t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  <w:trHeight w:val="283"/>
        </w:trPr>
        <w:tc>
          <w:tcPr>
            <w:tcW w:w="569" w:type="dxa"/>
            <w:vAlign w:val="center"/>
            <w:textDirection w:val="lrTb"/>
            <w:noWrap w:val="false"/>
          </w:tcPr>
          <w:p>
            <w:pPr>
              <w:pStyle w:val="962"/>
              <w:ind w:left="34" w:right="0"/>
              <w:jc w:val="center"/>
              <w:tabs>
                <w:tab w:val="clear" w:pos="4536" w:leader="none"/>
                <w:tab w:val="left" w:pos="9639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9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 w:val="0"/>
                <w:bCs w:val="0"/>
                <w:i w:val="0"/>
                <w:strike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</w:rPr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t xml:space="preserve">Коллективный участник в составе: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</w:rPr>
              <w:t xml:space="preserve">ООО ЭЦ "СП" (лидер),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</w:rPr>
              <w:t xml:space="preserve">ООО "ПАРЛАМЕНТ" (участник)</w:t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strike w:val="0"/>
                <w:color w:val="000000"/>
                <w:sz w:val="22"/>
                <w:szCs w:val="22"/>
                <w:highlight w:val="none"/>
                <w:u w:val="none"/>
              </w:rPr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strike w:val="0"/>
                <w:color w:val="000000"/>
                <w:sz w:val="22"/>
                <w:szCs w:val="22"/>
                <w:highlight w:val="none"/>
                <w:u w:val="none"/>
              </w:rPr>
            </w:r>
          </w:p>
        </w:tc>
        <w:tc>
          <w:tcPr>
            <w:tcW w:w="1986" w:type="dxa"/>
            <w:vAlign w:val="center"/>
            <w:vMerge w:val="continue"/>
            <w:textDirection w:val="lrTb"/>
            <w:noWrap w:val="false"/>
          </w:tcPr>
          <w:p>
            <w:pPr>
              <w:pStyle w:val="94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94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28</w:t>
            </w:r>
            <w:r>
              <w:rPr>
                <w:sz w:val="22"/>
                <w:szCs w:val="22"/>
              </w:rPr>
              <w:t xml:space="preserve">.04.2025 - 30.12.2026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94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pStyle w:val="949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Соответствует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  <w:trHeight w:val="488"/>
        </w:trPr>
        <w:tc>
          <w:tcPr>
            <w:tcW w:w="569" w:type="dxa"/>
            <w:vAlign w:val="center"/>
            <w:textDirection w:val="lrTb"/>
            <w:noWrap w:val="false"/>
          </w:tcPr>
          <w:p>
            <w:pPr>
              <w:pStyle w:val="962"/>
              <w:ind w:left="34" w:right="0"/>
              <w:jc w:val="center"/>
              <w:tabs>
                <w:tab w:val="clear" w:pos="4536" w:leader="none"/>
                <w:tab w:val="left" w:pos="9639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9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</w:rPr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t xml:space="preserve">Коллективный участник в составе: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</w:rPr>
              <w:t xml:space="preserve"> АО "ЭНЕРГОПРОЕКТ-ИНЖИНИРИНГ" (лидер),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</w:rPr>
              <w:t xml:space="preserve">ООО "СЭТ" (участник)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1986" w:type="dxa"/>
            <w:vAlign w:val="center"/>
            <w:vMerge w:val="continue"/>
            <w:textDirection w:val="lrTb"/>
            <w:noWrap w:val="false"/>
          </w:tcPr>
          <w:p>
            <w:pPr>
              <w:pStyle w:val="94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94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28</w:t>
            </w:r>
            <w:r>
              <w:rPr>
                <w:sz w:val="22"/>
                <w:szCs w:val="22"/>
              </w:rPr>
              <w:t xml:space="preserve">.04.2025 - 30.12.2026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94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pStyle w:val="949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Соответствует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  <w:trHeight w:val="488"/>
        </w:trPr>
        <w:tc>
          <w:tcPr>
            <w:tcW w:w="569" w:type="dxa"/>
            <w:vAlign w:val="center"/>
            <w:textDirection w:val="lrTb"/>
            <w:noWrap w:val="false"/>
          </w:tcPr>
          <w:p>
            <w:pPr>
              <w:pStyle w:val="962"/>
              <w:ind w:left="34" w:right="0"/>
              <w:jc w:val="center"/>
              <w:tabs>
                <w:tab w:val="clear" w:pos="4536" w:leader="none"/>
                <w:tab w:val="left" w:pos="9639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9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</w:rPr>
              <w:t xml:space="preserve">ООО "СПЕЦСТРОЙ-ИНЖИНИРИНГ"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1986" w:type="dxa"/>
            <w:vAlign w:val="center"/>
            <w:vMerge w:val="continue"/>
            <w:textDirection w:val="lrTb"/>
            <w:noWrap w:val="false"/>
          </w:tcPr>
          <w:p>
            <w:pPr>
              <w:pStyle w:val="94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94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28</w:t>
            </w:r>
            <w:r>
              <w:rPr>
                <w:sz w:val="22"/>
                <w:szCs w:val="22"/>
              </w:rPr>
              <w:t xml:space="preserve">.04.2025 - 30.12.2026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94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pStyle w:val="949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Соответствует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  <w:trHeight w:val="2333"/>
        </w:trPr>
        <w:tc>
          <w:tcPr>
            <w:tcW w:w="569" w:type="dxa"/>
            <w:vAlign w:val="center"/>
            <w:textDirection w:val="lrTb"/>
            <w:noWrap w:val="false"/>
          </w:tcPr>
          <w:p>
            <w:pPr>
              <w:pStyle w:val="962"/>
              <w:ind w:left="34" w:right="0"/>
              <w:jc w:val="center"/>
              <w:tabs>
                <w:tab w:val="clear" w:pos="4536" w:leader="none"/>
                <w:tab w:val="left" w:pos="9639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9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</w:rPr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t xml:space="preserve">Коллективный участник в составе: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</w:rPr>
              <w:t xml:space="preserve">ООО "ПЕРВОЕ ПРОФЕССИОНАЛЬНОЕ СООБЩЕСТВО" (лидер),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</w:rPr>
              <w:t xml:space="preserve">ООО "ПЕТРОСТРОЙ-РИТМ" (участник)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1986" w:type="dxa"/>
            <w:vAlign w:val="center"/>
            <w:vMerge w:val="continue"/>
            <w:textDirection w:val="lrTb"/>
            <w:noWrap w:val="false"/>
          </w:tcPr>
          <w:p>
            <w:pPr>
              <w:pStyle w:val="94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94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28</w:t>
            </w:r>
            <w:r>
              <w:rPr>
                <w:sz w:val="22"/>
                <w:szCs w:val="22"/>
              </w:rPr>
              <w:t xml:space="preserve">.04.2025 - 30.12.2026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94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pStyle w:val="949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Соответствует</w:t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</w:tbl>
    <w:p>
      <w:pPr>
        <w:pStyle w:val="949"/>
        <w:ind w:left="420"/>
        <w:jc w:val="both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49"/>
        <w:numPr>
          <w:ilvl w:val="0"/>
          <w:numId w:val="4"/>
        </w:numPr>
        <w:ind w:left="0" w:firstLine="567"/>
        <w:jc w:val="both"/>
        <w:tabs>
          <w:tab w:val="left" w:pos="1134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Сведения о минимальной правоспособности, квалификации и финансовой устойчивости Участника: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49"/>
        <w:ind w:left="567"/>
        <w:jc w:val="both"/>
        <w:tabs>
          <w:tab w:val="left" w:pos="1134" w:leader="none"/>
        </w:tabs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tbl>
      <w:tblPr>
        <w:tblW w:w="10565" w:type="dxa"/>
        <w:jc w:val="center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1134"/>
        <w:gridCol w:w="6771"/>
        <w:gridCol w:w="266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737"/>
          <w:tblHeader/>
        </w:trPr>
        <w:tc>
          <w:tcPr>
            <w:tcW w:w="1134" w:type="dxa"/>
            <w:vAlign w:val="center"/>
            <w:textDirection w:val="lrTb"/>
            <w:noWrap w:val="false"/>
          </w:tcPr>
          <w:p>
            <w:pPr>
              <w:pStyle w:val="962"/>
              <w:ind w:right="34"/>
              <w:jc w:val="center"/>
              <w:tabs>
                <w:tab w:val="clear" w:pos="4536" w:leader="none"/>
                <w:tab w:val="left" w:pos="9639" w:leader="none"/>
              </w:tabs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Номер п/п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6771" w:type="dxa"/>
            <w:vAlign w:val="center"/>
            <w:textDirection w:val="lrTb"/>
            <w:noWrap w:val="false"/>
          </w:tcPr>
          <w:p>
            <w:pPr>
              <w:pStyle w:val="954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Участник предварительного отбора в электронной форме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660" w:type="dxa"/>
            <w:vAlign w:val="center"/>
            <w:textDirection w:val="lrTb"/>
            <w:noWrap w:val="false"/>
          </w:tcPr>
          <w:p>
            <w:pPr>
              <w:pStyle w:val="94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Вывод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66"/>
        </w:trPr>
        <w:tc>
          <w:tcPr>
            <w:tcW w:w="1134" w:type="dxa"/>
            <w:vAlign w:val="center"/>
            <w:textDirection w:val="lrTb"/>
            <w:noWrap w:val="false"/>
          </w:tcPr>
          <w:p>
            <w:pPr>
              <w:pStyle w:val="962"/>
              <w:ind w:left="113" w:right="0"/>
              <w:jc w:val="center"/>
              <w:tabs>
                <w:tab w:val="clear" w:pos="4536" w:leader="none"/>
                <w:tab w:val="left" w:pos="9639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71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</w:rPr>
              <w:t xml:space="preserve">ООО "ЭНЕРГОСТРОЙИНВЕСТ"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2660" w:type="dxa"/>
            <w:vAlign w:val="center"/>
            <w:textDirection w:val="lrTb"/>
            <w:noWrap w:val="false"/>
          </w:tcPr>
          <w:p>
            <w:pPr>
              <w:pStyle w:val="949"/>
              <w:jc w:val="center"/>
              <w:rPr>
                <w:sz w:val="22"/>
                <w:szCs w:val="22"/>
                <w:vertAlign w:val="superscript"/>
              </w:rPr>
            </w:pPr>
            <w:r>
              <w:rPr>
                <w:bCs/>
                <w:sz w:val="22"/>
                <w:szCs w:val="22"/>
              </w:rPr>
              <w:t xml:space="preserve">Соответствует</w:t>
            </w:r>
            <w:r>
              <w:rPr>
                <w:sz w:val="22"/>
                <w:szCs w:val="22"/>
                <w:vertAlign w:val="superscript"/>
              </w:rPr>
            </w:r>
            <w:r>
              <w:rPr>
                <w:sz w:val="22"/>
                <w:szCs w:val="22"/>
                <w:vertAlign w:val="superscript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17"/>
        </w:trPr>
        <w:tc>
          <w:tcPr>
            <w:tcW w:w="1134" w:type="dxa"/>
            <w:vAlign w:val="center"/>
            <w:textDirection w:val="lrTb"/>
            <w:noWrap w:val="false"/>
          </w:tcPr>
          <w:p>
            <w:pPr>
              <w:pStyle w:val="962"/>
              <w:ind w:left="34" w:right="0"/>
              <w:jc w:val="center"/>
              <w:tabs>
                <w:tab w:val="clear" w:pos="4536" w:leader="none"/>
                <w:tab w:val="left" w:pos="9639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71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 w:val="0"/>
                <w:bCs w:val="0"/>
                <w:i w:val="0"/>
                <w:strike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</w:rPr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t xml:space="preserve">Коллективный участник в составе: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</w:rPr>
              <w:t xml:space="preserve">ООО ЭЦ "СП" (лидер),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</w:rPr>
              <w:t xml:space="preserve">ООО "ПАРЛАМЕНТ" (участник)</w:t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strike w:val="0"/>
                <w:color w:val="000000"/>
                <w:sz w:val="22"/>
                <w:szCs w:val="22"/>
                <w:highlight w:val="none"/>
                <w:u w:val="none"/>
              </w:rPr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strike w:val="0"/>
                <w:color w:val="000000"/>
                <w:sz w:val="22"/>
                <w:szCs w:val="22"/>
                <w:highlight w:val="none"/>
                <w:u w:val="none"/>
              </w:rPr>
            </w:r>
          </w:p>
        </w:tc>
        <w:tc>
          <w:tcPr>
            <w:tcW w:w="2660" w:type="dxa"/>
            <w:vAlign w:val="center"/>
            <w:textDirection w:val="lrTb"/>
            <w:noWrap w:val="false"/>
          </w:tcPr>
          <w:p>
            <w:pPr>
              <w:pStyle w:val="949"/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Соответствует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23"/>
        </w:trPr>
        <w:tc>
          <w:tcPr>
            <w:tcW w:w="1134" w:type="dxa"/>
            <w:vAlign w:val="center"/>
            <w:textDirection w:val="lrTb"/>
            <w:noWrap w:val="false"/>
          </w:tcPr>
          <w:p>
            <w:pPr>
              <w:pStyle w:val="962"/>
              <w:ind w:left="34" w:right="0"/>
              <w:jc w:val="center"/>
              <w:tabs>
                <w:tab w:val="clear" w:pos="4536" w:leader="none"/>
                <w:tab w:val="left" w:pos="9639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71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</w:rPr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t xml:space="preserve">Коллективный участник в составе: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</w:rPr>
              <w:t xml:space="preserve"> АО "ЭНЕРГОПРОЕКТ-ИНЖИНИРИНГ" (лидер),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</w:rPr>
              <w:t xml:space="preserve">ООО "СЭТ" (участник)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2660" w:type="dxa"/>
            <w:vAlign w:val="center"/>
            <w:textDirection w:val="lrTb"/>
            <w:noWrap w:val="false"/>
          </w:tcPr>
          <w:p>
            <w:pPr>
              <w:pStyle w:val="949"/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Соответствует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23"/>
        </w:trPr>
        <w:tc>
          <w:tcPr>
            <w:tcW w:w="1134" w:type="dxa"/>
            <w:vAlign w:val="center"/>
            <w:textDirection w:val="lrTb"/>
            <w:noWrap w:val="false"/>
          </w:tcPr>
          <w:p>
            <w:pPr>
              <w:pStyle w:val="962"/>
              <w:ind w:left="34" w:right="0"/>
              <w:jc w:val="center"/>
              <w:tabs>
                <w:tab w:val="clear" w:pos="4536" w:leader="none"/>
                <w:tab w:val="left" w:pos="9639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71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</w:rPr>
              <w:t xml:space="preserve">ООО "СПЕЦСТРОЙ-ИНЖИНИРИНГ"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2660" w:type="dxa"/>
            <w:vAlign w:val="center"/>
            <w:textDirection w:val="lrTb"/>
            <w:noWrap w:val="false"/>
          </w:tcPr>
          <w:p>
            <w:pPr>
              <w:pStyle w:val="949"/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Соответствует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23"/>
        </w:trPr>
        <w:tc>
          <w:tcPr>
            <w:tcW w:w="1134" w:type="dxa"/>
            <w:vAlign w:val="center"/>
            <w:textDirection w:val="lrTb"/>
            <w:noWrap w:val="false"/>
          </w:tcPr>
          <w:p>
            <w:pPr>
              <w:pStyle w:val="962"/>
              <w:ind w:left="34" w:right="0"/>
              <w:jc w:val="center"/>
              <w:tabs>
                <w:tab w:val="clear" w:pos="4536" w:leader="none"/>
                <w:tab w:val="left" w:pos="9639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71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</w:rPr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t xml:space="preserve">Коллективный участник в составе: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</w:rPr>
              <w:t xml:space="preserve">ООО "ПЕРВОЕ ПРОФЕССИОНАЛЬНОЕ СООБЩЕСТВО" (лидер),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</w:rPr>
              <w:t xml:space="preserve">ООО "ПЕТРОСТРОЙ-РИТМ" (участник)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2660" w:type="dxa"/>
            <w:vAlign w:val="center"/>
            <w:textDirection w:val="lrTb"/>
            <w:noWrap w:val="false"/>
          </w:tcPr>
          <w:p>
            <w:pPr>
              <w:pStyle w:val="949"/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Соответствует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</w:tbl>
    <w:p>
      <w:pPr>
        <w:pStyle w:val="949"/>
        <w:jc w:val="both"/>
        <w:tabs>
          <w:tab w:val="left" w:pos="709" w:leader="none"/>
        </w:tabs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49"/>
        <w:numPr>
          <w:ilvl w:val="0"/>
          <w:numId w:val="4"/>
        </w:numPr>
        <w:ind w:left="0" w:firstLine="567"/>
        <w:jc w:val="both"/>
        <w:tabs>
          <w:tab w:val="left" w:pos="993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Сведения о соответствии технической части заявки требованиям документации о закупке на основании выводов экспертов по анализу технической части заявки Участника: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49"/>
        <w:ind w:left="567"/>
        <w:jc w:val="both"/>
        <w:tabs>
          <w:tab w:val="left" w:pos="993" w:leader="none"/>
        </w:tabs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tbl>
      <w:tblPr>
        <w:tblW w:w="10490" w:type="dxa"/>
        <w:jc w:val="center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1134"/>
        <w:gridCol w:w="7371"/>
        <w:gridCol w:w="198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737"/>
          <w:tblHeader/>
        </w:trPr>
        <w:tc>
          <w:tcPr>
            <w:tcW w:w="1134" w:type="dxa"/>
            <w:vAlign w:val="center"/>
            <w:textDirection w:val="lrTb"/>
            <w:noWrap w:val="false"/>
          </w:tcPr>
          <w:p>
            <w:pPr>
              <w:pStyle w:val="962"/>
              <w:ind w:right="34"/>
              <w:jc w:val="center"/>
              <w:tabs>
                <w:tab w:val="clear" w:pos="4536" w:leader="none"/>
                <w:tab w:val="left" w:pos="9639" w:leader="none"/>
              </w:tabs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Номер п/п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7371" w:type="dxa"/>
            <w:vAlign w:val="center"/>
            <w:textDirection w:val="lrTb"/>
            <w:noWrap w:val="false"/>
          </w:tcPr>
          <w:p>
            <w:pPr>
              <w:pStyle w:val="954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Участник предварительного отбора в электронной форме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985" w:type="dxa"/>
            <w:vAlign w:val="center"/>
            <w:textDirection w:val="lrTb"/>
            <w:noWrap w:val="false"/>
          </w:tcPr>
          <w:p>
            <w:pPr>
              <w:pStyle w:val="94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Вывод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73"/>
        </w:trPr>
        <w:tc>
          <w:tcPr>
            <w:tcW w:w="1134" w:type="dxa"/>
            <w:vAlign w:val="center"/>
            <w:textDirection w:val="lrTb"/>
            <w:noWrap w:val="false"/>
          </w:tcPr>
          <w:p>
            <w:pPr>
              <w:pStyle w:val="962"/>
              <w:ind w:left="113" w:right="0"/>
              <w:jc w:val="center"/>
              <w:tabs>
                <w:tab w:val="clear" w:pos="4536" w:leader="none"/>
                <w:tab w:val="left" w:pos="9639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371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</w:rPr>
              <w:t xml:space="preserve">ООО "ЭНЕРГОСТРОЙИНВЕСТ"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1985" w:type="dxa"/>
            <w:vAlign w:val="center"/>
            <w:textDirection w:val="lrTb"/>
            <w:noWrap w:val="false"/>
          </w:tcPr>
          <w:p>
            <w:pPr>
              <w:pStyle w:val="949"/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Соответствует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86"/>
        </w:trPr>
        <w:tc>
          <w:tcPr>
            <w:tcW w:w="1134" w:type="dxa"/>
            <w:vAlign w:val="center"/>
            <w:textDirection w:val="lrTb"/>
            <w:noWrap w:val="false"/>
          </w:tcPr>
          <w:p>
            <w:pPr>
              <w:pStyle w:val="962"/>
              <w:ind w:left="34" w:right="0"/>
              <w:jc w:val="center"/>
              <w:tabs>
                <w:tab w:val="clear" w:pos="4536" w:leader="none"/>
                <w:tab w:val="left" w:pos="9639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371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 w:val="0"/>
                <w:bCs w:val="0"/>
                <w:i w:val="0"/>
                <w:strike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</w:rPr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t xml:space="preserve">Коллективный участник в составе: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</w:rPr>
              <w:t xml:space="preserve">ООО ЭЦ "СП" (лидер),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</w:rPr>
              <w:t xml:space="preserve">ООО "ПАРЛАМЕНТ" (участник)</w:t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strike w:val="0"/>
                <w:color w:val="000000"/>
                <w:sz w:val="22"/>
                <w:szCs w:val="22"/>
                <w:highlight w:val="none"/>
                <w:u w:val="none"/>
              </w:rPr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strike w:val="0"/>
                <w:color w:val="000000"/>
                <w:sz w:val="22"/>
                <w:szCs w:val="22"/>
                <w:highlight w:val="none"/>
                <w:u w:val="none"/>
              </w:rPr>
            </w:r>
          </w:p>
        </w:tc>
        <w:tc>
          <w:tcPr>
            <w:tcW w:w="1985" w:type="dxa"/>
            <w:vAlign w:val="center"/>
            <w:textDirection w:val="lrTb"/>
            <w:noWrap w:val="false"/>
          </w:tcPr>
          <w:p>
            <w:pPr>
              <w:pStyle w:val="949"/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Соответствует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80"/>
        </w:trPr>
        <w:tc>
          <w:tcPr>
            <w:tcW w:w="1134" w:type="dxa"/>
            <w:vAlign w:val="center"/>
            <w:textDirection w:val="lrTb"/>
            <w:noWrap w:val="false"/>
          </w:tcPr>
          <w:p>
            <w:pPr>
              <w:pStyle w:val="962"/>
              <w:ind w:left="34" w:right="0"/>
              <w:jc w:val="center"/>
              <w:tabs>
                <w:tab w:val="clear" w:pos="4536" w:leader="none"/>
                <w:tab w:val="left" w:pos="9639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371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</w:rPr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t xml:space="preserve">Коллективный участник в составе: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</w:rPr>
              <w:t xml:space="preserve"> АО "ЭНЕРГОПРОЕКТ-ИНЖИНИРИНГ" (лидер),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</w:rPr>
              <w:t xml:space="preserve">ООО "СЭТ" (участник)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1985" w:type="dxa"/>
            <w:vAlign w:val="center"/>
            <w:textDirection w:val="lrTb"/>
            <w:noWrap w:val="false"/>
          </w:tcPr>
          <w:p>
            <w:pPr>
              <w:pStyle w:val="949"/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Соответствует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80"/>
        </w:trPr>
        <w:tc>
          <w:tcPr>
            <w:tcW w:w="1134" w:type="dxa"/>
            <w:vAlign w:val="center"/>
            <w:textDirection w:val="lrTb"/>
            <w:noWrap w:val="false"/>
          </w:tcPr>
          <w:p>
            <w:pPr>
              <w:pStyle w:val="962"/>
              <w:ind w:left="34" w:right="0"/>
              <w:jc w:val="center"/>
              <w:tabs>
                <w:tab w:val="clear" w:pos="4536" w:leader="none"/>
                <w:tab w:val="left" w:pos="9639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371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</w:rPr>
              <w:t xml:space="preserve">ООО "СПЕЦСТРОЙ-ИНЖИНИРИНГ"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1985" w:type="dxa"/>
            <w:vAlign w:val="center"/>
            <w:textDirection w:val="lrTb"/>
            <w:noWrap w:val="false"/>
          </w:tcPr>
          <w:p>
            <w:pPr>
              <w:pStyle w:val="949"/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Соответствует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80"/>
        </w:trPr>
        <w:tc>
          <w:tcPr>
            <w:tcW w:w="1134" w:type="dxa"/>
            <w:vAlign w:val="center"/>
            <w:textDirection w:val="lrTb"/>
            <w:noWrap w:val="false"/>
          </w:tcPr>
          <w:p>
            <w:pPr>
              <w:pStyle w:val="962"/>
              <w:ind w:left="34" w:right="0"/>
              <w:jc w:val="center"/>
              <w:tabs>
                <w:tab w:val="clear" w:pos="4536" w:leader="none"/>
                <w:tab w:val="left" w:pos="9639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371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</w:rPr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t xml:space="preserve">Коллективный участник в составе: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</w:rPr>
              <w:t xml:space="preserve">ООО "ПЕРВОЕ ПРОФЕССИОНАЛЬНОЕ СООБЩЕСТВО" (лидер),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</w:rPr>
              <w:t xml:space="preserve">ООО "ПЕТРОСТРОЙ-РИТМ" (участник)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1985" w:type="dxa"/>
            <w:vAlign w:val="center"/>
            <w:textDirection w:val="lrTb"/>
            <w:noWrap w:val="false"/>
          </w:tcPr>
          <w:p>
            <w:pPr>
              <w:pStyle w:val="949"/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Соответствует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</w:tbl>
    <w:p>
      <w:pPr>
        <w:pStyle w:val="949"/>
        <w:ind w:left="567"/>
        <w:jc w:val="both"/>
        <w:tabs>
          <w:tab w:val="left" w:pos="993" w:leader="none"/>
        </w:tabs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49"/>
        <w:numPr>
          <w:ilvl w:val="0"/>
          <w:numId w:val="4"/>
        </w:numPr>
        <w:ind w:left="0" w:firstLine="567"/>
        <w:jc w:val="both"/>
        <w:tabs>
          <w:tab w:val="left" w:pos="993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По результатам оценки заявок Закупочная комиссия приняла решение о соответствии/несоответствии требованиям документации о закупке и принятии к дальнейшему рассмотрению заявок следующих Участников: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49"/>
        <w:ind w:left="567"/>
        <w:jc w:val="both"/>
        <w:tabs>
          <w:tab w:val="left" w:pos="993" w:leader="none"/>
        </w:tabs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tbl>
      <w:tblPr>
        <w:tblW w:w="10885" w:type="dxa"/>
        <w:jc w:val="center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767"/>
        <w:gridCol w:w="3421"/>
        <w:gridCol w:w="1789"/>
        <w:gridCol w:w="1701"/>
        <w:gridCol w:w="1789"/>
        <w:gridCol w:w="14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  <w:trHeight w:val="1564"/>
          <w:tblHeader/>
        </w:trPr>
        <w:tc>
          <w:tcPr>
            <w:tcW w:w="767" w:type="dxa"/>
            <w:vAlign w:val="center"/>
            <w:textDirection w:val="lrTb"/>
            <w:noWrap w:val="false"/>
          </w:tcPr>
          <w:p>
            <w:pPr>
              <w:pStyle w:val="962"/>
              <w:ind w:right="34"/>
              <w:jc w:val="center"/>
              <w:tabs>
                <w:tab w:val="clear" w:pos="4536" w:leader="none"/>
                <w:tab w:val="left" w:pos="9639" w:leader="none"/>
              </w:tabs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Номер п/п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3421" w:type="dxa"/>
            <w:vAlign w:val="center"/>
            <w:textDirection w:val="lrTb"/>
            <w:noWrap w:val="false"/>
          </w:tcPr>
          <w:p>
            <w:pPr>
              <w:pStyle w:val="94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Участник предварительного отбора в электронной форме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789" w:type="dxa"/>
            <w:vAlign w:val="center"/>
            <w:textDirection w:val="lrTb"/>
            <w:noWrap w:val="false"/>
          </w:tcPr>
          <w:p>
            <w:pPr>
              <w:pStyle w:val="94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Срок выполнения работ (срок действия рамочного соглашения)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pStyle w:val="94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Сведения правоспособности, квалификации, полноты и качества оформления заявки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789" w:type="dxa"/>
            <w:vAlign w:val="center"/>
            <w:textDirection w:val="lrTb"/>
            <w:noWrap w:val="false"/>
          </w:tcPr>
          <w:p>
            <w:pPr>
              <w:pStyle w:val="94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Сведения технической части заявок Участников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417" w:type="dxa"/>
            <w:vAlign w:val="center"/>
            <w:textDirection w:val="lrTb"/>
            <w:noWrap w:val="false"/>
          </w:tcPr>
          <w:p>
            <w:pPr>
              <w:pStyle w:val="95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Решение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  <w:trHeight w:val="453"/>
        </w:trPr>
        <w:tc>
          <w:tcPr>
            <w:tcW w:w="767" w:type="dxa"/>
            <w:vAlign w:val="center"/>
            <w:textDirection w:val="lrTb"/>
            <w:noWrap w:val="false"/>
          </w:tcPr>
          <w:p>
            <w:pPr>
              <w:pStyle w:val="962"/>
              <w:ind w:right="34"/>
              <w:jc w:val="center"/>
              <w:tabs>
                <w:tab w:val="clear" w:pos="4536" w:leader="none"/>
                <w:tab w:val="left" w:pos="9639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21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</w:rPr>
              <w:t xml:space="preserve">ООО "ЭНЕРГОСТРОЙИНВЕСТ"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1789" w:type="dxa"/>
            <w:vAlign w:val="center"/>
            <w:textDirection w:val="lrTb"/>
            <w:noWrap w:val="false"/>
          </w:tcPr>
          <w:p>
            <w:pPr>
              <w:pStyle w:val="949"/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Соответствует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pStyle w:val="949"/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Соответствует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789" w:type="dxa"/>
            <w:vAlign w:val="center"/>
            <w:textDirection w:val="lrTb"/>
            <w:noWrap w:val="false"/>
          </w:tcPr>
          <w:p>
            <w:pPr>
              <w:pStyle w:val="949"/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Соответствует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417" w:type="dxa"/>
            <w:vAlign w:val="center"/>
            <w:textDirection w:val="lrTb"/>
            <w:noWrap w:val="false"/>
          </w:tcPr>
          <w:p>
            <w:pPr>
              <w:pStyle w:val="949"/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Принять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  <w:trHeight w:val="556"/>
        </w:trPr>
        <w:tc>
          <w:tcPr>
            <w:tcW w:w="767" w:type="dxa"/>
            <w:vAlign w:val="center"/>
            <w:textDirection w:val="lrTb"/>
            <w:noWrap w:val="false"/>
          </w:tcPr>
          <w:p>
            <w:pPr>
              <w:pStyle w:val="962"/>
              <w:ind w:right="34"/>
              <w:jc w:val="center"/>
              <w:tabs>
                <w:tab w:val="clear" w:pos="4536" w:leader="none"/>
                <w:tab w:val="left" w:pos="9639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21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 w:val="0"/>
                <w:bCs w:val="0"/>
                <w:i w:val="0"/>
                <w:strike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</w:rPr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t xml:space="preserve">Коллективный участник в составе: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</w:rPr>
              <w:t xml:space="preserve">ООО ЭЦ "СП" (лидер),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</w:rPr>
              <w:t xml:space="preserve">ООО "ПАРЛАМЕНТ" (участник)</w:t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strike w:val="0"/>
                <w:color w:val="000000"/>
                <w:sz w:val="22"/>
                <w:szCs w:val="22"/>
                <w:highlight w:val="none"/>
                <w:u w:val="none"/>
              </w:rPr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strike w:val="0"/>
                <w:color w:val="000000"/>
                <w:sz w:val="22"/>
                <w:szCs w:val="22"/>
                <w:highlight w:val="none"/>
                <w:u w:val="none"/>
              </w:rPr>
            </w:r>
          </w:p>
        </w:tc>
        <w:tc>
          <w:tcPr>
            <w:tcW w:w="1789" w:type="dxa"/>
            <w:vAlign w:val="center"/>
            <w:textDirection w:val="lrTb"/>
            <w:noWrap w:val="false"/>
          </w:tcPr>
          <w:p>
            <w:pPr>
              <w:pStyle w:val="949"/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Соответствует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pStyle w:val="949"/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Соответствует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789" w:type="dxa"/>
            <w:vAlign w:val="center"/>
            <w:textDirection w:val="lrTb"/>
            <w:noWrap w:val="false"/>
          </w:tcPr>
          <w:p>
            <w:pPr>
              <w:pStyle w:val="949"/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Соответствует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417" w:type="dxa"/>
            <w:vAlign w:val="center"/>
            <w:textDirection w:val="lrTb"/>
            <w:noWrap w:val="false"/>
          </w:tcPr>
          <w:p>
            <w:pPr>
              <w:pStyle w:val="949"/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Принять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  <w:trHeight w:val="538"/>
        </w:trPr>
        <w:tc>
          <w:tcPr>
            <w:tcW w:w="767" w:type="dxa"/>
            <w:vAlign w:val="center"/>
            <w:textDirection w:val="lrTb"/>
            <w:noWrap w:val="false"/>
          </w:tcPr>
          <w:p>
            <w:pPr>
              <w:pStyle w:val="962"/>
              <w:ind w:right="34"/>
              <w:jc w:val="center"/>
              <w:tabs>
                <w:tab w:val="clear" w:pos="4536" w:leader="none"/>
                <w:tab w:val="left" w:pos="9639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21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</w:rPr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t xml:space="preserve">Коллективный участник в составе: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</w:rPr>
              <w:t xml:space="preserve"> АО "ЭНЕРГОПРОЕКТ-ИНЖИНИРИНГ" (лидер),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</w:rPr>
              <w:t xml:space="preserve">ООО "СЭТ" (участник)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1789" w:type="dxa"/>
            <w:vAlign w:val="center"/>
            <w:textDirection w:val="lrTb"/>
            <w:noWrap w:val="false"/>
          </w:tcPr>
          <w:p>
            <w:pPr>
              <w:pStyle w:val="949"/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Соответствует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pStyle w:val="949"/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Соответствует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789" w:type="dxa"/>
            <w:vAlign w:val="center"/>
            <w:textDirection w:val="lrTb"/>
            <w:noWrap w:val="false"/>
          </w:tcPr>
          <w:p>
            <w:pPr>
              <w:pStyle w:val="949"/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Соответствует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417" w:type="dxa"/>
            <w:vAlign w:val="center"/>
            <w:textDirection w:val="lrTb"/>
            <w:noWrap w:val="false"/>
          </w:tcPr>
          <w:p>
            <w:pPr>
              <w:pStyle w:val="949"/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Принять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  <w:trHeight w:val="538"/>
        </w:trPr>
        <w:tc>
          <w:tcPr>
            <w:tcW w:w="767" w:type="dxa"/>
            <w:vAlign w:val="center"/>
            <w:textDirection w:val="lrTb"/>
            <w:noWrap w:val="false"/>
          </w:tcPr>
          <w:p>
            <w:pPr>
              <w:pStyle w:val="962"/>
              <w:ind w:right="34"/>
              <w:jc w:val="center"/>
              <w:tabs>
                <w:tab w:val="clear" w:pos="4536" w:leader="none"/>
                <w:tab w:val="left" w:pos="9639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21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</w:rPr>
              <w:t xml:space="preserve">ООО "СПЕЦСТРОЙ-ИНЖИНИРИНГ"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1789" w:type="dxa"/>
            <w:vAlign w:val="center"/>
            <w:textDirection w:val="lrTb"/>
            <w:noWrap w:val="false"/>
          </w:tcPr>
          <w:p>
            <w:pPr>
              <w:pStyle w:val="949"/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Соответствует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pStyle w:val="949"/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Соответствует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789" w:type="dxa"/>
            <w:vAlign w:val="center"/>
            <w:textDirection w:val="lrTb"/>
            <w:noWrap w:val="false"/>
          </w:tcPr>
          <w:p>
            <w:pPr>
              <w:pStyle w:val="949"/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Соответствует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417" w:type="dxa"/>
            <w:vAlign w:val="center"/>
            <w:textDirection w:val="lrTb"/>
            <w:noWrap w:val="false"/>
          </w:tcPr>
          <w:p>
            <w:pPr>
              <w:pStyle w:val="949"/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Принять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  <w:trHeight w:val="538"/>
        </w:trPr>
        <w:tc>
          <w:tcPr>
            <w:tcW w:w="767" w:type="dxa"/>
            <w:vAlign w:val="center"/>
            <w:textDirection w:val="lrTb"/>
            <w:noWrap w:val="false"/>
          </w:tcPr>
          <w:p>
            <w:pPr>
              <w:pStyle w:val="962"/>
              <w:ind w:right="34"/>
              <w:jc w:val="center"/>
              <w:tabs>
                <w:tab w:val="clear" w:pos="4536" w:leader="none"/>
                <w:tab w:val="left" w:pos="9639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21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</w:rPr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t xml:space="preserve">Коллективный участник в составе: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</w:rPr>
              <w:t xml:space="preserve">ООО "ПЕРВОЕ ПРОФЕССИОНАЛЬНОЕ СООБЩЕСТВО" (лидер),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</w:rPr>
              <w:t xml:space="preserve">ООО "ПЕТРОСТРОЙ-РИТМ" (участник)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1789" w:type="dxa"/>
            <w:vAlign w:val="center"/>
            <w:textDirection w:val="lrTb"/>
            <w:noWrap w:val="false"/>
          </w:tcPr>
          <w:p>
            <w:pPr>
              <w:pStyle w:val="949"/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Соответствует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pStyle w:val="949"/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Соответствует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789" w:type="dxa"/>
            <w:vAlign w:val="center"/>
            <w:textDirection w:val="lrTb"/>
            <w:noWrap w:val="false"/>
          </w:tcPr>
          <w:p>
            <w:pPr>
              <w:pStyle w:val="949"/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Соответствует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417" w:type="dxa"/>
            <w:vAlign w:val="center"/>
            <w:textDirection w:val="lrTb"/>
            <w:noWrap w:val="false"/>
          </w:tcPr>
          <w:p>
            <w:pPr>
              <w:pStyle w:val="949"/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Принять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</w:tbl>
    <w:p>
      <w:pPr>
        <w:pStyle w:val="949"/>
        <w:jc w:val="both"/>
        <w:tabs>
          <w:tab w:val="left" w:pos="709" w:leader="none"/>
        </w:tabs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49"/>
        <w:jc w:val="both"/>
        <w:tabs>
          <w:tab w:val="left" w:pos="709" w:leader="none"/>
        </w:tabs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82"/>
        <w:numPr>
          <w:ilvl w:val="0"/>
          <w:numId w:val="4"/>
        </w:numPr>
        <w:ind w:left="0" w:firstLine="567"/>
        <w:jc w:val="both"/>
        <w:widowControl w:val="off"/>
        <w:tabs>
          <w:tab w:val="left" w:pos="1134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Закупочная комиссия решила принять результаты произведенной экспертами экспертизы поступивших заявок в рамках критериев, определенных в документации о закупке по предварительному отбору в электронной форме на электронной торговой площадке </w:t>
      </w:r>
      <w:r>
        <w:rPr>
          <w:sz w:val="22"/>
          <w:szCs w:val="22"/>
        </w:rPr>
        <w:fldChar w:fldCharType="begin"/>
      </w:r>
      <w:r>
        <w:rPr>
          <w:sz w:val="22"/>
          <w:szCs w:val="22"/>
        </w:rPr>
        <w:instrText xml:space="preserve"> HYPERLINK "https://tender.lot-online.ru/" </w:instrText>
      </w:r>
      <w:r>
        <w:rPr>
          <w:sz w:val="22"/>
          <w:szCs w:val="22"/>
        </w:rPr>
        <w:fldChar w:fldCharType="separate"/>
      </w:r>
      <w:r>
        <w:rPr>
          <w:rStyle w:val="958"/>
          <w:color w:val="000000"/>
          <w:sz w:val="22"/>
          <w:szCs w:val="22"/>
        </w:rPr>
        <w:t xml:space="preserve">https://tender.lot-online.ru/</w:t>
      </w:r>
      <w:r>
        <w:rPr>
          <w:sz w:val="22"/>
          <w:szCs w:val="22"/>
        </w:rPr>
        <w:fldChar w:fldCharType="end"/>
      </w:r>
      <w:r>
        <w:rPr>
          <w:sz w:val="22"/>
          <w:szCs w:val="22"/>
        </w:rPr>
        <w:t xml:space="preserve"> </w:t>
      </w:r>
      <w:r>
        <w:rPr>
          <w:b w:val="0"/>
          <w:bCs w:val="0"/>
          <w:sz w:val="22"/>
          <w:szCs w:val="22"/>
        </w:rPr>
        <w:t xml:space="preserve">на право заключения рамочного соглашения на выполнение проектно-изыскательских работ, строительно-монтажных работ (с поставкой оборудования) и полного комплекса проектно-изыскательских и строительно-монтажных работ на электросетевых объектах</w:t>
      </w:r>
      <w:r>
        <w:rPr>
          <w:b w:val="0"/>
          <w:bCs w:val="0"/>
          <w:sz w:val="22"/>
          <w:szCs w:val="22"/>
        </w:rPr>
        <w:t xml:space="preserve"> в целях технологического присоединения энергопринимающих устройств заявителей, повышения надежности электросетевого комплекса, осуществление мероприятий для исполнения обязательств по сносу и восстановлению электросетевых объектов, попадающих в зону произ</w:t>
      </w:r>
      <w:r>
        <w:rPr>
          <w:b w:val="0"/>
          <w:bCs w:val="0"/>
          <w:sz w:val="22"/>
          <w:szCs w:val="22"/>
        </w:rPr>
        <w:t xml:space="preserve">водства работ третьих лиц, а так же выполнение мероприятий на электросетевых объектах в целях реализации дополнительных услуг по филиалу ПАО «Россети Ленэнерго» «Новоладожские электрические сети» - общим объемом работ не более 4 081 351 553,76 руб. с НДС. </w:t>
      </w:r>
      <w:r>
        <w:rPr>
          <w:b w:val="0"/>
          <w:bCs w:val="0"/>
          <w:sz w:val="22"/>
          <w:szCs w:val="22"/>
        </w:rPr>
        <w:t xml:space="preserve">(2511</w:t>
      </w:r>
      <w:r>
        <w:rPr>
          <w:b w:val="0"/>
          <w:bCs w:val="0"/>
          <w:sz w:val="22"/>
          <w:szCs w:val="22"/>
        </w:rPr>
        <w:t xml:space="preserve">00</w:t>
      </w:r>
      <w:r>
        <w:rPr>
          <w:b w:val="0"/>
          <w:bCs w:val="0"/>
          <w:sz w:val="22"/>
          <w:szCs w:val="22"/>
        </w:rPr>
        <w:t xml:space="preserve">):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49"/>
        <w:jc w:val="both"/>
        <w:tabs>
          <w:tab w:val="num" w:pos="1193" w:leader="none"/>
        </w:tabs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49"/>
        <w:jc w:val="both"/>
        <w:tabs>
          <w:tab w:val="num" w:pos="1193" w:leader="none"/>
        </w:tabs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49"/>
        <w:jc w:val="both"/>
        <w:tabs>
          <w:tab w:val="num" w:pos="1193" w:leader="none"/>
        </w:tabs>
        <w:rPr>
          <w:sz w:val="22"/>
          <w:szCs w:val="22"/>
        </w:rPr>
        <w:sectPr>
          <w:footerReference w:type="default" r:id="rId9"/>
          <w:footnotePr/>
          <w:endnotePr/>
          <w:type w:val="nextPage"/>
          <w:pgSz w:w="11906" w:h="16838" w:orient="portrait"/>
          <w:pgMar w:top="425" w:right="851" w:bottom="709" w:left="568" w:header="284" w:footer="40" w:gutter="0"/>
          <w:cols w:num="1" w:sep="0" w:space="720" w:equalWidth="1"/>
          <w:docGrid w:linePitch="360"/>
        </w:sect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tbl>
      <w:tblPr>
        <w:tblStyle w:val="805"/>
        <w:tblW w:w="0" w:type="auto"/>
        <w:tblLook w:val="04A0" w:firstRow="1" w:lastRow="0" w:firstColumn="1" w:lastColumn="0" w:noHBand="0" w:noVBand="1"/>
      </w:tblPr>
      <w:tblGrid>
        <w:gridCol w:w="645"/>
        <w:gridCol w:w="2400"/>
        <w:gridCol w:w="21660"/>
        <w:gridCol w:w="2670"/>
        <w:gridCol w:w="2670"/>
        <w:gridCol w:w="5685"/>
        <w:gridCol w:w="5685"/>
        <w:gridCol w:w="5685"/>
        <w:gridCol w:w="5685"/>
        <w:gridCol w:w="5685"/>
        <w:gridCol w:w="5685"/>
        <w:gridCol w:w="5685"/>
        <w:gridCol w:w="5685"/>
        <w:gridCol w:w="5685"/>
        <w:gridCol w:w="5685"/>
      </w:tblGrid>
      <w:tr>
        <w:tblPrEx/>
        <w:trPr>
          <w:trHeight w:val="1842"/>
        </w:trPr>
        <w:tc>
          <w:tcPr>
            <w:gridSpan w:val="5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004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НлЭС 251100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gridSpan w:val="2"/>
            <w:shd w:val="clear" w:color="fde9d8" w:fill="fde9d8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70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ОБЩЕСТВО С ОГРАНИЧЕННОЙ ОТВЕТСТВЕННОСТЬЮ "ЭНЕРГОСТРОЙИНВЕСТ"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gridSpan w:val="2"/>
            <w:shd w:val="clear" w:color="fde9d8" w:fill="fde9d8"/>
            <w:tcBorders>
              <w:top w:val="single" w:color="000000" w:sz="12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70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Коллективный участник:  Лидер: ООО ЭЦ "СП" / Участник:  ООО "Парламент" 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gridSpan w:val="2"/>
            <w:shd w:val="clear" w:color="fde9d8" w:fill="fde9d8"/>
            <w:tcBorders>
              <w:top w:val="single" w:color="000000" w:sz="12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70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Коллективный участник:</w:t>
              <w:br/>
              <w:t xml:space="preserve">Лидер: АО "ЭПИ"  Участник:   ООО "СЭТ"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gridSpan w:val="2"/>
            <w:shd w:val="clear" w:color="fde9d8" w:fill="fde9d8"/>
            <w:tcBorders>
              <w:top w:val="single" w:color="000000" w:sz="12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70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ООО "СПЕЦСТРОЙ-ИНЖИНИРИНГ"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gridSpan w:val="2"/>
            <w:shd w:val="clear" w:color="fde9d8" w:fill="fde9d8"/>
            <w:tcBorders>
              <w:top w:val="single" w:color="000000" w:sz="12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70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Коллективный участник :  лидер -ООО «ПЕРВОЕ ПРОФЕССИОНАЛЬНОЕ СООБЩЕСТВО» , участник -  ООО «ПЕТРОСТРОЙ РИТМ»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</w:tr>
      <w:tr>
        <w:tblPrEx/>
        <w:trPr>
          <w:trHeight w:val="537"/>
        </w:trPr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gridSpan w:val="2"/>
            <w:tcBorders>
              <w:top w:val="single" w:color="000000" w:sz="12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60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Наименование критериев оценки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12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0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Кол-во требование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12" w:space="0"/>
              <w:left w:val="single" w:color="000000" w:sz="6" w:space="0"/>
              <w:bottom w:val="single" w:color="000000" w:sz="12" w:space="0"/>
              <w:right w:val="single" w:color="000000" w:sz="12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0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Весовой коэффициент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shd w:val="clear" w:color="ffff00" w:fill="ffff00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Оценка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shd w:val="clear" w:color="ffff00" w:fill="ffff00"/>
            <w:tcBorders>
              <w:top w:val="single" w:color="000000" w:sz="12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Кол-во баллов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shd w:val="clear" w:color="ffff00" w:fill="ffff00"/>
            <w:tcBorders>
              <w:top w:val="single" w:color="000000" w:sz="12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Оценка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shd w:val="clear" w:color="ffff00" w:fill="ffff00"/>
            <w:tcBorders>
              <w:top w:val="single" w:color="000000" w:sz="12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Кол-во баллов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shd w:val="clear" w:color="ffff00" w:fill="ffff00"/>
            <w:tcBorders>
              <w:top w:val="single" w:color="000000" w:sz="12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Оценка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shd w:val="clear" w:color="ffff00" w:fill="ffff00"/>
            <w:tcBorders>
              <w:top w:val="single" w:color="000000" w:sz="12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Кол-во баллов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shd w:val="clear" w:color="ffff00" w:fill="ffff00"/>
            <w:tcBorders>
              <w:top w:val="single" w:color="000000" w:sz="12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Оценка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shd w:val="clear" w:color="ffff00" w:fill="ffff00"/>
            <w:tcBorders>
              <w:top w:val="single" w:color="000000" w:sz="12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Кол-во баллов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shd w:val="clear" w:color="ffff00" w:fill="ffff00"/>
            <w:tcBorders>
              <w:top w:val="single" w:color="000000" w:sz="12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Оценка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shd w:val="clear" w:color="ffff00" w:fill="ffff00"/>
            <w:tcBorders>
              <w:top w:val="single" w:color="000000" w:sz="12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Кол-во баллов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</w:tr>
      <w:tr>
        <w:tblPrEx/>
        <w:trPr>
          <w:trHeight w:val="968"/>
        </w:trPr>
        <w:tc>
          <w:tcPr>
            <w:shd w:val="clear" w:color="b2a1c6" w:fill="b2a1c6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gridSpan w:val="2"/>
            <w:shd w:val="clear" w:color="b2a1c6" w:fill="b2a1c6"/>
            <w:tcBorders>
              <w:top w:val="single" w:color="000000" w:sz="12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60" w:type="dxa"/>
            <w:vAlign w:val="center"/>
            <w:textDirection w:val="lrTb"/>
            <w:noWrap w:val="false"/>
          </w:tcPr>
          <w:p>
            <w:pPr>
              <w:jc w:val="left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Опыт выполнения аналогичных работ  с 01.01.2022 года по 01.01.2025 г. (включительно)  не менее 20 млн. руб. с НДС. 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shd w:val="clear" w:color="b2a1c6" w:fill="b2a1c6"/>
            <w:tcBorders>
              <w:top w:val="single" w:color="000000" w:sz="12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0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shd w:val="clear" w:color="b2a1c6" w:fill="b2a1c6"/>
            <w:tcBorders>
              <w:top w:val="single" w:color="000000" w:sz="12" w:space="0"/>
              <w:left w:val="single" w:color="000000" w:sz="6" w:space="0"/>
              <w:bottom w:val="single" w:color="000000" w:sz="12" w:space="0"/>
              <w:right w:val="single" w:color="000000" w:sz="12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0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0,4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shd w:val="clear" w:color="b2a1c6" w:fill="b2a1c6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22,80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shd w:val="clear" w:color="b2a1c6" w:fill="b2a1c6"/>
            <w:tcBorders>
              <w:top w:val="single" w:color="000000" w:sz="12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57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shd w:val="clear" w:color="b2a1c6" w:fill="b2a1c6"/>
            <w:tcBorders>
              <w:top w:val="single" w:color="000000" w:sz="12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20,80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shd w:val="clear" w:color="b2a1c6" w:fill="b2a1c6"/>
            <w:tcBorders>
              <w:top w:val="single" w:color="000000" w:sz="12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52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shd w:val="clear" w:color="b2a1c6" w:fill="b2a1c6"/>
            <w:tcBorders>
              <w:top w:val="single" w:color="000000" w:sz="12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23,20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shd w:val="clear" w:color="b2a1c6" w:fill="b2a1c6"/>
            <w:tcBorders>
              <w:top w:val="single" w:color="000000" w:sz="12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58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shd w:val="clear" w:color="b2a1c6" w:fill="b2a1c6"/>
            <w:tcBorders>
              <w:top w:val="single" w:color="000000" w:sz="12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19,60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shd w:val="clear" w:color="b2a1c6" w:fill="b2a1c6"/>
            <w:tcBorders>
              <w:top w:val="single" w:color="000000" w:sz="12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49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shd w:val="clear" w:color="b2a1c6" w:fill="b2a1c6"/>
            <w:tcBorders>
              <w:top w:val="single" w:color="000000" w:sz="12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20,40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shd w:val="clear" w:color="b2a1c6" w:fill="b2a1c6"/>
            <w:tcBorders>
              <w:top w:val="single" w:color="000000" w:sz="12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51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</w:tr>
      <w:tr>
        <w:tblPrEx/>
        <w:trPr>
          <w:trHeight w:val="673"/>
        </w:trPr>
        <w:tc>
          <w:tcPr>
            <w:shd w:val="clear" w:color="dae5f1" w:fill="dae5f1"/>
            <w:tcBorders>
              <w:top w:val="single" w:color="000000" w:sz="12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2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shd w:val="clear" w:color="dae5f1" w:fill="dae5f1"/>
            <w:tcBorders>
              <w:top w:val="single" w:color="000000" w:sz="12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0" w:type="dxa"/>
            <w:vAlign w:val="center"/>
            <w:vMerge w:val="restart"/>
            <w:textDirection w:val="lrTb"/>
            <w:noWrap w:val="false"/>
          </w:tcPr>
          <w:p>
            <w:pPr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Наличие квалифицированных кадровых ресурсов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shd w:val="clear" w:color="dae5f1" w:fill="dae5f1"/>
            <w:tcBorders>
              <w:top w:val="single" w:color="000000" w:sz="12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60" w:type="dxa"/>
            <w:vAlign w:val="top"/>
            <w:textDirection w:val="lrTb"/>
            <w:noWrap w:val="false"/>
          </w:tcPr>
          <w:p>
            <w:pPr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Прораб – с группой по электробезопасности до и выше 1000 В IV группы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12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0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4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12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0,3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12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12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12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12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12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12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12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12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12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</w:tr>
      <w:tr>
        <w:tblPrEx/>
        <w:trPr>
          <w:trHeight w:val="679"/>
        </w:trPr>
        <w:tc>
          <w:tcPr>
            <w:shd w:val="clear" w:color="dae5f1" w:fill="dae5f1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40"/>
                <w:u w:val="none"/>
                <w:vertAlign w:val="baseline"/>
              </w:rPr>
            </w:r>
            <w:r/>
          </w:p>
        </w:tc>
        <w:tc>
          <w:tcPr>
            <w:shd w:val="clear" w:color="dae5f1" w:fill="dae5f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0" w:type="dxa"/>
            <w:vAlign w:val="center"/>
            <w:vMerge w:val="continue"/>
            <w:textDirection w:val="lrTb"/>
            <w:noWrap w:val="false"/>
          </w:tcPr>
          <w:p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40"/>
                <w:u w:val="none"/>
                <w:vertAlign w:val="baseline"/>
              </w:rPr>
            </w:r>
            <w:r/>
          </w:p>
        </w:tc>
        <w:tc>
          <w:tcPr>
            <w:shd w:val="clear" w:color="dae5f1" w:fill="dae5f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60" w:type="dxa"/>
            <w:vAlign w:val="top"/>
            <w:textDirection w:val="lrTb"/>
            <w:noWrap w:val="false"/>
          </w:tcPr>
          <w:p>
            <w:pPr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Мастер электромонтажного участка, с группой по электробезопасности до и выше 1000 В IV группы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0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4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0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40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</w:tr>
      <w:tr>
        <w:tblPrEx/>
        <w:trPr>
          <w:trHeight w:val="544"/>
        </w:trPr>
        <w:tc>
          <w:tcPr>
            <w:shd w:val="clear" w:color="dae5f1" w:fill="dae5f1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40"/>
                <w:u w:val="none"/>
                <w:vertAlign w:val="baseline"/>
              </w:rPr>
            </w:r>
            <w:r/>
          </w:p>
        </w:tc>
        <w:tc>
          <w:tcPr>
            <w:shd w:val="clear" w:color="dae5f1" w:fill="dae5f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0" w:type="dxa"/>
            <w:vAlign w:val="center"/>
            <w:vMerge w:val="continue"/>
            <w:textDirection w:val="lrTb"/>
            <w:noWrap w:val="false"/>
          </w:tcPr>
          <w:p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40"/>
                <w:u w:val="none"/>
                <w:vertAlign w:val="baseline"/>
              </w:rPr>
            </w:r>
            <w:r/>
          </w:p>
        </w:tc>
        <w:tc>
          <w:tcPr>
            <w:shd w:val="clear" w:color="dae5f1" w:fill="dae5f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60" w:type="dxa"/>
            <w:vAlign w:val="top"/>
            <w:textDirection w:val="lrTb"/>
            <w:noWrap w:val="false"/>
          </w:tcPr>
          <w:p>
            <w:pPr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Рабочий персонал (бетонщик, каменщик, кабельщик, землекоп, арматурщик, электросварщик)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0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12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0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40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</w:tr>
      <w:tr>
        <w:tblPrEx/>
        <w:trPr>
          <w:trHeight w:val="537"/>
        </w:trPr>
        <w:tc>
          <w:tcPr>
            <w:shd w:val="clear" w:color="dae5f1" w:fill="dae5f1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40"/>
                <w:u w:val="none"/>
                <w:vertAlign w:val="baseline"/>
              </w:rPr>
            </w:r>
            <w:r/>
          </w:p>
        </w:tc>
        <w:tc>
          <w:tcPr>
            <w:shd w:val="clear" w:color="dae5f1" w:fill="dae5f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0" w:type="dxa"/>
            <w:vAlign w:val="center"/>
            <w:vMerge w:val="continue"/>
            <w:textDirection w:val="lrTb"/>
            <w:noWrap w:val="false"/>
          </w:tcPr>
          <w:p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40"/>
                <w:u w:val="none"/>
                <w:vertAlign w:val="baseline"/>
              </w:rPr>
            </w:r>
            <w:r/>
          </w:p>
        </w:tc>
        <w:tc>
          <w:tcPr>
            <w:shd w:val="clear" w:color="dae5f1" w:fill="dae5f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60" w:type="dxa"/>
            <w:vAlign w:val="top"/>
            <w:textDirection w:val="lrTb"/>
            <w:noWrap w:val="false"/>
          </w:tcPr>
          <w:p>
            <w:pPr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Электромонтажники – по ремонту и монтажу кабельных ЛЭП IV группы по электробезопасности до и выше 1000 В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0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4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0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40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</w:tr>
      <w:tr>
        <w:tblPrEx/>
        <w:trPr>
          <w:trHeight w:val="606"/>
        </w:trPr>
        <w:tc>
          <w:tcPr>
            <w:shd w:val="clear" w:color="dae5f1" w:fill="dae5f1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40"/>
                <w:u w:val="none"/>
                <w:vertAlign w:val="baseline"/>
              </w:rPr>
            </w:r>
            <w:r/>
          </w:p>
        </w:tc>
        <w:tc>
          <w:tcPr>
            <w:shd w:val="clear" w:color="dae5f1" w:fill="dae5f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0" w:type="dxa"/>
            <w:vAlign w:val="center"/>
            <w:vMerge w:val="continue"/>
            <w:textDirection w:val="lrTb"/>
            <w:noWrap w:val="false"/>
          </w:tcPr>
          <w:p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40"/>
                <w:u w:val="none"/>
                <w:vertAlign w:val="baseline"/>
              </w:rPr>
            </w:r>
            <w:r/>
          </w:p>
        </w:tc>
        <w:tc>
          <w:tcPr>
            <w:shd w:val="clear" w:color="dae5f1" w:fill="dae5f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60" w:type="dxa"/>
            <w:vAlign w:val="top"/>
            <w:textDirection w:val="lrTb"/>
            <w:noWrap w:val="false"/>
          </w:tcPr>
          <w:p>
            <w:pPr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Электромонтажники – по ремонту и монтажу кабельных ЛЭ III группы по электробезопасности до и выше 1000 В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0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6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0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40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</w:tr>
      <w:tr>
        <w:tblPrEx/>
        <w:trPr>
          <w:trHeight w:val="398"/>
        </w:trPr>
        <w:tc>
          <w:tcPr>
            <w:shd w:val="clear" w:color="dae5f1" w:fill="dae5f1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40"/>
                <w:u w:val="none"/>
                <w:vertAlign w:val="baseline"/>
              </w:rPr>
            </w:r>
            <w:r/>
          </w:p>
        </w:tc>
        <w:tc>
          <w:tcPr>
            <w:shd w:val="clear" w:color="dae5f1" w:fill="dae5f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0" w:type="dxa"/>
            <w:vAlign w:val="center"/>
            <w:vMerge w:val="continue"/>
            <w:textDirection w:val="lrTb"/>
            <w:noWrap w:val="false"/>
          </w:tcPr>
          <w:p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40"/>
                <w:u w:val="none"/>
                <w:vertAlign w:val="baseline"/>
              </w:rPr>
            </w:r>
            <w:r/>
          </w:p>
        </w:tc>
        <w:tc>
          <w:tcPr>
            <w:shd w:val="clear" w:color="dae5f1" w:fill="dae5f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60" w:type="dxa"/>
            <w:vAlign w:val="top"/>
            <w:textDirection w:val="lrTb"/>
            <w:noWrap w:val="false"/>
          </w:tcPr>
          <w:p>
            <w:pPr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Электромонтажники – IV группы по электробезопасности до и выше 1000 В.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0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4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0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40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</w:tr>
      <w:tr>
        <w:tblPrEx/>
        <w:trPr>
          <w:trHeight w:val="567"/>
        </w:trPr>
        <w:tc>
          <w:tcPr>
            <w:shd w:val="clear" w:color="dae5f1" w:fill="dae5f1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40"/>
                <w:u w:val="none"/>
                <w:vertAlign w:val="baseline"/>
              </w:rPr>
            </w:r>
            <w:r/>
          </w:p>
        </w:tc>
        <w:tc>
          <w:tcPr>
            <w:shd w:val="clear" w:color="dae5f1" w:fill="dae5f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0" w:type="dxa"/>
            <w:vAlign w:val="center"/>
            <w:vMerge w:val="continue"/>
            <w:textDirection w:val="lrTb"/>
            <w:noWrap w:val="false"/>
          </w:tcPr>
          <w:p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40"/>
                <w:u w:val="none"/>
                <w:vertAlign w:val="baseline"/>
              </w:rPr>
            </w:r>
            <w:r/>
          </w:p>
        </w:tc>
        <w:tc>
          <w:tcPr>
            <w:shd w:val="clear" w:color="dae5f1" w:fill="dae5f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60" w:type="dxa"/>
            <w:vAlign w:val="top"/>
            <w:textDirection w:val="lrTb"/>
            <w:noWrap w:val="false"/>
          </w:tcPr>
          <w:p>
            <w:pPr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Электромонтажники оборудования – IV группы по электробезопасности до и выше 1000 В.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0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4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0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40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</w:tr>
      <w:tr>
        <w:tblPrEx/>
        <w:trPr>
          <w:trHeight w:val="0"/>
        </w:trPr>
        <w:tc>
          <w:tcPr>
            <w:shd w:val="clear" w:color="dae5f1" w:fill="dae5f1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40"/>
                <w:u w:val="none"/>
                <w:vertAlign w:val="baseline"/>
              </w:rPr>
            </w:r>
            <w:r/>
          </w:p>
        </w:tc>
        <w:tc>
          <w:tcPr>
            <w:shd w:val="clear" w:color="dae5f1" w:fill="dae5f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0" w:type="dxa"/>
            <w:vAlign w:val="center"/>
            <w:vMerge w:val="continue"/>
            <w:textDirection w:val="lrTb"/>
            <w:noWrap w:val="false"/>
          </w:tcPr>
          <w:p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40"/>
                <w:u w:val="none"/>
                <w:vertAlign w:val="baseline"/>
              </w:rPr>
            </w:r>
            <w:r/>
          </w:p>
        </w:tc>
        <w:tc>
          <w:tcPr>
            <w:shd w:val="clear" w:color="dae5f1" w:fill="dae5f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60" w:type="dxa"/>
            <w:vAlign w:val="top"/>
            <w:textDirection w:val="lrTb"/>
            <w:noWrap w:val="false"/>
          </w:tcPr>
          <w:p>
            <w:pPr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Электромонтажники оборудования – III группы по электробезопасности до и выше 1000 В.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0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6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0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40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</w:tr>
      <w:tr>
        <w:tblPrEx/>
        <w:trPr>
          <w:trHeight w:val="0"/>
        </w:trPr>
        <w:tc>
          <w:tcPr>
            <w:shd w:val="clear" w:color="dae5f1" w:fill="dae5f1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40"/>
                <w:u w:val="none"/>
                <w:vertAlign w:val="baseline"/>
              </w:rPr>
            </w:r>
            <w:r/>
          </w:p>
        </w:tc>
        <w:tc>
          <w:tcPr>
            <w:shd w:val="clear" w:color="dae5f1" w:fill="dae5f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0" w:type="dxa"/>
            <w:vAlign w:val="center"/>
            <w:vMerge w:val="continue"/>
            <w:textDirection w:val="lrTb"/>
            <w:noWrap w:val="false"/>
          </w:tcPr>
          <w:p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40"/>
                <w:u w:val="none"/>
                <w:vertAlign w:val="baseline"/>
              </w:rPr>
            </w:r>
            <w:r/>
          </w:p>
        </w:tc>
        <w:tc>
          <w:tcPr>
            <w:shd w:val="clear" w:color="dae5f1" w:fill="dae5f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60" w:type="dxa"/>
            <w:vAlign w:val="top"/>
            <w:textDirection w:val="lrTb"/>
            <w:noWrap w:val="false"/>
          </w:tcPr>
          <w:p>
            <w:pPr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МОП и охрана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0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4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0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40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</w:tr>
      <w:tr>
        <w:tblPrEx/>
        <w:trPr>
          <w:trHeight w:val="630"/>
        </w:trPr>
        <w:tc>
          <w:tcPr>
            <w:shd w:val="clear" w:color="dae5f1" w:fill="dae5f1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40"/>
                <w:u w:val="none"/>
                <w:vertAlign w:val="baseline"/>
              </w:rPr>
            </w:r>
            <w:r/>
          </w:p>
        </w:tc>
        <w:tc>
          <w:tcPr>
            <w:shd w:val="clear" w:color="dae5f1" w:fill="dae5f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0" w:type="dxa"/>
            <w:vAlign w:val="center"/>
            <w:vMerge w:val="continue"/>
            <w:textDirection w:val="lrTb"/>
            <w:noWrap w:val="false"/>
          </w:tcPr>
          <w:p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40"/>
                <w:u w:val="none"/>
                <w:vertAlign w:val="baseline"/>
              </w:rPr>
            </w:r>
            <w:r/>
          </w:p>
        </w:tc>
        <w:tc>
          <w:tcPr>
            <w:shd w:val="clear" w:color="dae5f1" w:fill="dae5f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60" w:type="dxa"/>
            <w:vAlign w:val="top"/>
            <w:textDirection w:val="lrTb"/>
            <w:noWrap w:val="false"/>
          </w:tcPr>
          <w:p>
            <w:pPr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Главный инженер/заместитель главного инженера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0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0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40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</w:tr>
      <w:tr>
        <w:tblPrEx/>
        <w:trPr>
          <w:trHeight w:val="0"/>
        </w:trPr>
        <w:tc>
          <w:tcPr>
            <w:shd w:val="clear" w:color="dae5f1" w:fill="dae5f1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40"/>
                <w:u w:val="none"/>
                <w:vertAlign w:val="baseline"/>
              </w:rPr>
            </w:r>
            <w:r/>
          </w:p>
        </w:tc>
        <w:tc>
          <w:tcPr>
            <w:shd w:val="clear" w:color="dae5f1" w:fill="dae5f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0" w:type="dxa"/>
            <w:vAlign w:val="center"/>
            <w:vMerge w:val="continue"/>
            <w:textDirection w:val="lrTb"/>
            <w:noWrap w:val="false"/>
          </w:tcPr>
          <w:p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40"/>
                <w:u w:val="none"/>
                <w:vertAlign w:val="baseline"/>
              </w:rPr>
            </w:r>
            <w:r/>
          </w:p>
        </w:tc>
        <w:tc>
          <w:tcPr>
            <w:shd w:val="clear" w:color="dae5f1" w:fill="dae5f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60" w:type="dxa"/>
            <w:vAlign w:val="top"/>
            <w:textDirection w:val="lrTb"/>
            <w:noWrap w:val="false"/>
          </w:tcPr>
          <w:p>
            <w:pPr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Главный инженер проекта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0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2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0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40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</w:tr>
      <w:tr>
        <w:tblPrEx/>
        <w:trPr>
          <w:trHeight w:val="0"/>
        </w:trPr>
        <w:tc>
          <w:tcPr>
            <w:shd w:val="clear" w:color="dae5f1" w:fill="dae5f1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40"/>
                <w:u w:val="none"/>
                <w:vertAlign w:val="baseline"/>
              </w:rPr>
            </w:r>
            <w:r/>
          </w:p>
        </w:tc>
        <w:tc>
          <w:tcPr>
            <w:shd w:val="clear" w:color="dae5f1" w:fill="dae5f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0" w:type="dxa"/>
            <w:vAlign w:val="center"/>
            <w:vMerge w:val="continue"/>
            <w:textDirection w:val="lrTb"/>
            <w:noWrap w:val="false"/>
          </w:tcPr>
          <w:p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40"/>
                <w:u w:val="none"/>
                <w:vertAlign w:val="baseline"/>
              </w:rPr>
            </w:r>
            <w:r/>
          </w:p>
        </w:tc>
        <w:tc>
          <w:tcPr>
            <w:shd w:val="clear" w:color="dae5f1" w:fill="dae5f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60" w:type="dxa"/>
            <w:vAlign w:val="top"/>
            <w:textDirection w:val="lrTb"/>
            <w:noWrap w:val="false"/>
          </w:tcPr>
          <w:p>
            <w:pPr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Инженер по согласованию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0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2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0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40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</w:tr>
      <w:tr>
        <w:tblPrEx/>
        <w:trPr>
          <w:trHeight w:val="0"/>
        </w:trPr>
        <w:tc>
          <w:tcPr>
            <w:shd w:val="clear" w:color="dae5f1" w:fill="dae5f1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40"/>
                <w:u w:val="none"/>
                <w:vertAlign w:val="baseline"/>
              </w:rPr>
            </w:r>
            <w:r/>
          </w:p>
        </w:tc>
        <w:tc>
          <w:tcPr>
            <w:shd w:val="clear" w:color="dae5f1" w:fill="dae5f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0" w:type="dxa"/>
            <w:vAlign w:val="center"/>
            <w:vMerge w:val="continue"/>
            <w:textDirection w:val="lrTb"/>
            <w:noWrap w:val="false"/>
          </w:tcPr>
          <w:p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40"/>
                <w:u w:val="none"/>
                <w:vertAlign w:val="baseline"/>
              </w:rPr>
            </w:r>
            <w:r/>
          </w:p>
        </w:tc>
        <w:tc>
          <w:tcPr>
            <w:shd w:val="clear" w:color="dae5f1" w:fill="dae5f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60" w:type="dxa"/>
            <w:vAlign w:val="top"/>
            <w:textDirection w:val="lrTb"/>
            <w:noWrap w:val="false"/>
          </w:tcPr>
          <w:p>
            <w:pPr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Инженер - проектировщик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0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6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0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40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</w:tr>
      <w:tr>
        <w:tblPrEx/>
        <w:trPr>
          <w:trHeight w:val="0"/>
        </w:trPr>
        <w:tc>
          <w:tcPr>
            <w:shd w:val="clear" w:color="dae5f1" w:fill="dae5f1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40"/>
                <w:u w:val="none"/>
                <w:vertAlign w:val="baseline"/>
              </w:rPr>
            </w:r>
            <w:r/>
          </w:p>
        </w:tc>
        <w:tc>
          <w:tcPr>
            <w:shd w:val="clear" w:color="dae5f1" w:fill="dae5f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0" w:type="dxa"/>
            <w:vAlign w:val="center"/>
            <w:vMerge w:val="continue"/>
            <w:textDirection w:val="lrTb"/>
            <w:noWrap w:val="false"/>
          </w:tcPr>
          <w:p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40"/>
                <w:u w:val="none"/>
                <w:vertAlign w:val="baseline"/>
              </w:rPr>
            </w:r>
            <w:r/>
          </w:p>
        </w:tc>
        <w:tc>
          <w:tcPr>
            <w:shd w:val="clear" w:color="dae5f1" w:fill="dae5f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60" w:type="dxa"/>
            <w:vAlign w:val="top"/>
            <w:textDirection w:val="lrTb"/>
            <w:noWrap w:val="false"/>
          </w:tcPr>
          <w:p>
            <w:pPr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Инженер - геодезист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0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2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0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40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</w:tr>
      <w:tr>
        <w:tblPrEx/>
        <w:trPr>
          <w:trHeight w:val="0"/>
        </w:trPr>
        <w:tc>
          <w:tcPr>
            <w:shd w:val="clear" w:color="dae5f1" w:fill="dae5f1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40"/>
                <w:u w:val="none"/>
                <w:vertAlign w:val="baseline"/>
              </w:rPr>
            </w:r>
            <w:r/>
          </w:p>
        </w:tc>
        <w:tc>
          <w:tcPr>
            <w:shd w:val="clear" w:color="dae5f1" w:fill="dae5f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0" w:type="dxa"/>
            <w:vAlign w:val="center"/>
            <w:vMerge w:val="continue"/>
            <w:textDirection w:val="lrTb"/>
            <w:noWrap w:val="false"/>
          </w:tcPr>
          <w:p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40"/>
                <w:u w:val="none"/>
                <w:vertAlign w:val="baseline"/>
              </w:rPr>
            </w:r>
            <w:r/>
          </w:p>
        </w:tc>
        <w:tc>
          <w:tcPr>
            <w:shd w:val="clear" w:color="dae5f1" w:fill="dae5f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60" w:type="dxa"/>
            <w:vAlign w:val="top"/>
            <w:textDirection w:val="lrTb"/>
            <w:noWrap w:val="false"/>
          </w:tcPr>
          <w:p>
            <w:pPr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Инженер - эколог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0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0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40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</w:tr>
      <w:tr>
        <w:tblPrEx/>
        <w:trPr>
          <w:trHeight w:val="0"/>
        </w:trPr>
        <w:tc>
          <w:tcPr>
            <w:shd w:val="clear" w:color="dae5f1" w:fill="dae5f1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40"/>
                <w:u w:val="none"/>
                <w:vertAlign w:val="baseline"/>
              </w:rPr>
            </w:r>
            <w:r/>
          </w:p>
        </w:tc>
        <w:tc>
          <w:tcPr>
            <w:shd w:val="clear" w:color="dae5f1" w:fill="dae5f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0" w:type="dxa"/>
            <w:vAlign w:val="center"/>
            <w:vMerge w:val="continue"/>
            <w:textDirection w:val="lrTb"/>
            <w:noWrap w:val="false"/>
          </w:tcPr>
          <w:p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40"/>
                <w:u w:val="none"/>
                <w:vertAlign w:val="baseline"/>
              </w:rPr>
            </w:r>
            <w:r/>
          </w:p>
        </w:tc>
        <w:tc>
          <w:tcPr>
            <w:shd w:val="clear" w:color="dae5f1" w:fill="dae5f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60" w:type="dxa"/>
            <w:vAlign w:val="top"/>
            <w:textDirection w:val="lrTb"/>
            <w:noWrap w:val="false"/>
          </w:tcPr>
          <w:p>
            <w:pPr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Инженер - строитель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0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4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0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40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</w:tr>
      <w:tr>
        <w:tblPrEx/>
        <w:trPr>
          <w:trHeight w:val="0"/>
        </w:trPr>
        <w:tc>
          <w:tcPr>
            <w:shd w:val="clear" w:color="dae5f1" w:fill="dae5f1"/>
            <w:tcBorders>
              <w:top w:val="single" w:color="000000" w:sz="6" w:space="0"/>
              <w:left w:val="single" w:color="000000" w:sz="12" w:space="0"/>
              <w:bottom w:val="single" w:color="000000" w:sz="12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40"/>
                <w:u w:val="none"/>
                <w:vertAlign w:val="baseline"/>
              </w:rPr>
            </w:r>
            <w:r/>
          </w:p>
        </w:tc>
        <w:tc>
          <w:tcPr>
            <w:shd w:val="clear" w:color="dae5f1" w:fill="dae5f1"/>
            <w:tcBorders>
              <w:top w:val="single" w:color="000000" w:sz="6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0" w:type="dxa"/>
            <w:vAlign w:val="center"/>
            <w:vMerge w:val="continue"/>
            <w:textDirection w:val="lrTb"/>
            <w:noWrap w:val="false"/>
          </w:tcPr>
          <w:p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40"/>
                <w:u w:val="none"/>
                <w:vertAlign w:val="baseline"/>
              </w:rPr>
            </w:r>
            <w:r/>
          </w:p>
        </w:tc>
        <w:tc>
          <w:tcPr>
            <w:shd w:val="clear" w:color="dae5f1" w:fill="dae5f1"/>
            <w:tcBorders>
              <w:top w:val="single" w:color="000000" w:sz="6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60" w:type="dxa"/>
            <w:vAlign w:val="top"/>
            <w:textDirection w:val="lrTb"/>
            <w:noWrap w:val="false"/>
          </w:tcPr>
          <w:p>
            <w:pPr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Инженер - сметчик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0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4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0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40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</w:tr>
      <w:tr>
        <w:tblPrEx/>
        <w:trPr>
          <w:trHeight w:val="0"/>
        </w:trPr>
        <w:tc>
          <w:tcPr>
            <w:gridSpan w:val="3"/>
            <w:shd w:val="clear" w:color="b2a1c6" w:fill="b2a1c6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70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ИТОГО КАДРЫ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shd w:val="clear" w:color="b2a1c6" w:fill="b2a1c6"/>
            <w:tcBorders>
              <w:top w:val="single" w:color="000000" w:sz="12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0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shd w:val="clear" w:color="b2a1c6" w:fill="b2a1c6"/>
            <w:tcBorders>
              <w:top w:val="single" w:color="000000" w:sz="12" w:space="0"/>
              <w:left w:val="single" w:color="000000" w:sz="6" w:space="0"/>
              <w:bottom w:val="single" w:color="000000" w:sz="12" w:space="0"/>
              <w:right w:val="single" w:color="000000" w:sz="12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0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shd w:val="clear" w:color="b2a1c6" w:fill="b2a1c6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30,00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shd w:val="clear" w:color="b2a1c6" w:fill="b2a1c6"/>
            <w:tcBorders>
              <w:top w:val="single" w:color="000000" w:sz="12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shd w:val="clear" w:color="b2a1c6" w:fill="b2a1c6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30,00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shd w:val="clear" w:color="b2a1c6" w:fill="b2a1c6"/>
            <w:tcBorders>
              <w:top w:val="single" w:color="000000" w:sz="12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shd w:val="clear" w:color="b2a1c6" w:fill="b2a1c6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30,00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shd w:val="clear" w:color="b2a1c6" w:fill="b2a1c6"/>
            <w:tcBorders>
              <w:top w:val="single" w:color="000000" w:sz="12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shd w:val="clear" w:color="b2a1c6" w:fill="b2a1c6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30,00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shd w:val="clear" w:color="b2a1c6" w:fill="b2a1c6"/>
            <w:tcBorders>
              <w:top w:val="single" w:color="000000" w:sz="12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shd w:val="clear" w:color="b2a1c6" w:fill="b2a1c6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30,00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shd w:val="clear" w:color="b2a1c6" w:fill="b2a1c6"/>
            <w:tcBorders>
              <w:top w:val="single" w:color="000000" w:sz="12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</w:tr>
      <w:tr>
        <w:tblPrEx/>
        <w:trPr>
          <w:trHeight w:val="34"/>
        </w:trPr>
        <w:tc>
          <w:tcPr>
            <w:shd w:val="clear" w:color="fde9d8" w:fill="fde9d8"/>
            <w:tcBorders>
              <w:top w:val="single" w:color="000000" w:sz="12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shd w:val="clear" w:color="fde9d8" w:fill="fde9d8"/>
            <w:tcBorders>
              <w:top w:val="single" w:color="000000" w:sz="12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0" w:type="dxa"/>
            <w:vAlign w:val="center"/>
            <w:vMerge w:val="restart"/>
            <w:textDirection w:val="lrTb"/>
            <w:noWrap w:val="false"/>
          </w:tcPr>
          <w:p>
            <w:pPr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Наличие материально-технических ресурсов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shd w:val="clear" w:color="fde9d8" w:fill="fde9d8"/>
            <w:tcBorders>
              <w:top w:val="single" w:color="000000" w:sz="12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60" w:type="dxa"/>
            <w:vAlign w:val="top"/>
            <w:textDirection w:val="lrTb"/>
            <w:noWrap w:val="false"/>
          </w:tcPr>
          <w:p>
            <w:pPr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Экскаватор-погрузчик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12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0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2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12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0,3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12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12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12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12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12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12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12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12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12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</w:tr>
      <w:tr>
        <w:tblPrEx/>
        <w:trPr>
          <w:trHeight w:val="222"/>
        </w:trPr>
        <w:tc>
          <w:tcPr>
            <w:shd w:val="clear" w:color="fde9d8" w:fill="fde9d8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40"/>
                <w:u w:val="none"/>
                <w:vertAlign w:val="baseline"/>
              </w:rPr>
            </w:r>
            <w:r/>
          </w:p>
        </w:tc>
        <w:tc>
          <w:tcPr>
            <w:shd w:val="clear" w:color="fde9d8" w:fill="fde9d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0" w:type="dxa"/>
            <w:vAlign w:val="center"/>
            <w:vMerge w:val="continue"/>
            <w:textDirection w:val="lrTb"/>
            <w:noWrap w:val="false"/>
          </w:tcPr>
          <w:p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40"/>
                <w:u w:val="none"/>
                <w:vertAlign w:val="baseline"/>
              </w:rPr>
            </w:r>
            <w:r/>
          </w:p>
        </w:tc>
        <w:tc>
          <w:tcPr>
            <w:shd w:val="clear" w:color="fde9d8" w:fill="fde9d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60" w:type="dxa"/>
            <w:vAlign w:val="top"/>
            <w:textDirection w:val="lrTb"/>
            <w:noWrap w:val="false"/>
          </w:tcPr>
          <w:p>
            <w:pPr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Экскаватор-бульдозер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0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2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0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40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</w:tr>
      <w:tr>
        <w:tblPrEx/>
        <w:trPr>
          <w:trHeight w:val="0"/>
        </w:trPr>
        <w:tc>
          <w:tcPr>
            <w:shd w:val="clear" w:color="fde9d8" w:fill="fde9d8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40"/>
                <w:u w:val="none"/>
                <w:vertAlign w:val="baseline"/>
              </w:rPr>
            </w:r>
            <w:r/>
          </w:p>
        </w:tc>
        <w:tc>
          <w:tcPr>
            <w:shd w:val="clear" w:color="fde9d8" w:fill="fde9d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0" w:type="dxa"/>
            <w:vAlign w:val="center"/>
            <w:vMerge w:val="continue"/>
            <w:textDirection w:val="lrTb"/>
            <w:noWrap w:val="false"/>
          </w:tcPr>
          <w:p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40"/>
                <w:u w:val="none"/>
                <w:vertAlign w:val="baseline"/>
              </w:rPr>
            </w:r>
            <w:r/>
          </w:p>
        </w:tc>
        <w:tc>
          <w:tcPr>
            <w:shd w:val="clear" w:color="fde9d8" w:fill="fde9d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60" w:type="dxa"/>
            <w:vAlign w:val="top"/>
            <w:textDirection w:val="lrTb"/>
            <w:noWrap w:val="false"/>
          </w:tcPr>
          <w:p>
            <w:pPr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Одновальцовый виброкаток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0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0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40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</w:tr>
      <w:tr>
        <w:tblPrEx/>
        <w:trPr>
          <w:trHeight w:val="0"/>
        </w:trPr>
        <w:tc>
          <w:tcPr>
            <w:shd w:val="clear" w:color="fde9d8" w:fill="fde9d8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40"/>
                <w:u w:val="none"/>
                <w:vertAlign w:val="baseline"/>
              </w:rPr>
            </w:r>
            <w:r/>
          </w:p>
        </w:tc>
        <w:tc>
          <w:tcPr>
            <w:shd w:val="clear" w:color="fde9d8" w:fill="fde9d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0" w:type="dxa"/>
            <w:vAlign w:val="center"/>
            <w:vMerge w:val="continue"/>
            <w:textDirection w:val="lrTb"/>
            <w:noWrap w:val="false"/>
          </w:tcPr>
          <w:p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40"/>
                <w:u w:val="none"/>
                <w:vertAlign w:val="baseline"/>
              </w:rPr>
            </w:r>
            <w:r/>
          </w:p>
        </w:tc>
        <w:tc>
          <w:tcPr>
            <w:shd w:val="clear" w:color="fde9d8" w:fill="fde9d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60" w:type="dxa"/>
            <w:vAlign w:val="top"/>
            <w:textDirection w:val="lrTb"/>
            <w:noWrap w:val="false"/>
          </w:tcPr>
          <w:p>
            <w:pPr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Автокран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0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0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40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</w:tr>
      <w:tr>
        <w:tblPrEx/>
        <w:trPr>
          <w:trHeight w:val="0"/>
        </w:trPr>
        <w:tc>
          <w:tcPr>
            <w:shd w:val="clear" w:color="fde9d8" w:fill="fde9d8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40"/>
                <w:u w:val="none"/>
                <w:vertAlign w:val="baseline"/>
              </w:rPr>
            </w:r>
            <w:r/>
          </w:p>
        </w:tc>
        <w:tc>
          <w:tcPr>
            <w:shd w:val="clear" w:color="fde9d8" w:fill="fde9d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0" w:type="dxa"/>
            <w:vAlign w:val="center"/>
            <w:vMerge w:val="continue"/>
            <w:textDirection w:val="lrTb"/>
            <w:noWrap w:val="false"/>
          </w:tcPr>
          <w:p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40"/>
                <w:u w:val="none"/>
                <w:vertAlign w:val="baseline"/>
              </w:rPr>
            </w:r>
            <w:r/>
          </w:p>
        </w:tc>
        <w:tc>
          <w:tcPr>
            <w:shd w:val="clear" w:color="fde9d8" w:fill="fde9d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60" w:type="dxa"/>
            <w:vAlign w:val="top"/>
            <w:textDirection w:val="lrTb"/>
            <w:noWrap w:val="false"/>
          </w:tcPr>
          <w:p>
            <w:pPr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Автомобиль бортовой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0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2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0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40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</w:tr>
      <w:tr>
        <w:tblPrEx/>
        <w:trPr>
          <w:trHeight w:val="0"/>
        </w:trPr>
        <w:tc>
          <w:tcPr>
            <w:shd w:val="clear" w:color="fde9d8" w:fill="fde9d8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40"/>
                <w:u w:val="none"/>
                <w:vertAlign w:val="baseline"/>
              </w:rPr>
            </w:r>
            <w:r/>
          </w:p>
        </w:tc>
        <w:tc>
          <w:tcPr>
            <w:shd w:val="clear" w:color="fde9d8" w:fill="fde9d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0" w:type="dxa"/>
            <w:vAlign w:val="center"/>
            <w:vMerge w:val="continue"/>
            <w:textDirection w:val="lrTb"/>
            <w:noWrap w:val="false"/>
          </w:tcPr>
          <w:p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40"/>
                <w:u w:val="none"/>
                <w:vertAlign w:val="baseline"/>
              </w:rPr>
            </w:r>
            <w:r/>
          </w:p>
        </w:tc>
        <w:tc>
          <w:tcPr>
            <w:shd w:val="clear" w:color="fde9d8" w:fill="fde9d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60" w:type="dxa"/>
            <w:vAlign w:val="top"/>
            <w:textDirection w:val="lrTb"/>
            <w:noWrap w:val="false"/>
          </w:tcPr>
          <w:p>
            <w:pPr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Автомобиль самосвал (6х4)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0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2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0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40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</w:tr>
      <w:tr>
        <w:tblPrEx/>
        <w:trPr>
          <w:trHeight w:val="0"/>
        </w:trPr>
        <w:tc>
          <w:tcPr>
            <w:shd w:val="clear" w:color="fde9d8" w:fill="fde9d8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40"/>
                <w:u w:val="none"/>
                <w:vertAlign w:val="baseline"/>
              </w:rPr>
            </w:r>
            <w:r/>
          </w:p>
        </w:tc>
        <w:tc>
          <w:tcPr>
            <w:shd w:val="clear" w:color="fde9d8" w:fill="fde9d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0" w:type="dxa"/>
            <w:vAlign w:val="center"/>
            <w:vMerge w:val="continue"/>
            <w:textDirection w:val="lrTb"/>
            <w:noWrap w:val="false"/>
          </w:tcPr>
          <w:p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40"/>
                <w:u w:val="none"/>
                <w:vertAlign w:val="baseline"/>
              </w:rPr>
            </w:r>
            <w:r/>
          </w:p>
        </w:tc>
        <w:tc>
          <w:tcPr>
            <w:shd w:val="clear" w:color="fde9d8" w:fill="fde9d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60" w:type="dxa"/>
            <w:vAlign w:val="top"/>
            <w:textDirection w:val="lrTb"/>
            <w:noWrap w:val="false"/>
          </w:tcPr>
          <w:p>
            <w:pPr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Тягач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0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0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40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</w:tr>
      <w:tr>
        <w:tblPrEx/>
        <w:trPr>
          <w:trHeight w:val="0"/>
        </w:trPr>
        <w:tc>
          <w:tcPr>
            <w:shd w:val="clear" w:color="fde9d8" w:fill="fde9d8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40"/>
                <w:u w:val="none"/>
                <w:vertAlign w:val="baseline"/>
              </w:rPr>
            </w:r>
            <w:r/>
          </w:p>
        </w:tc>
        <w:tc>
          <w:tcPr>
            <w:shd w:val="clear" w:color="fde9d8" w:fill="fde9d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0" w:type="dxa"/>
            <w:vAlign w:val="center"/>
            <w:vMerge w:val="continue"/>
            <w:textDirection w:val="lrTb"/>
            <w:noWrap w:val="false"/>
          </w:tcPr>
          <w:p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40"/>
                <w:u w:val="none"/>
                <w:vertAlign w:val="baseline"/>
              </w:rPr>
            </w:r>
            <w:r/>
          </w:p>
        </w:tc>
        <w:tc>
          <w:tcPr>
            <w:shd w:val="clear" w:color="fde9d8" w:fill="fde9d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60" w:type="dxa"/>
            <w:vAlign w:val="top"/>
            <w:textDirection w:val="lrTb"/>
            <w:noWrap w:val="false"/>
          </w:tcPr>
          <w:p>
            <w:pPr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Автомобиль легковой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0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2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0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40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</w:tr>
      <w:tr>
        <w:tblPrEx/>
        <w:trPr>
          <w:trHeight w:val="0"/>
        </w:trPr>
        <w:tc>
          <w:tcPr>
            <w:shd w:val="clear" w:color="fde9d8" w:fill="fde9d8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40"/>
                <w:u w:val="none"/>
                <w:vertAlign w:val="baseline"/>
              </w:rPr>
            </w:r>
            <w:r/>
          </w:p>
        </w:tc>
        <w:tc>
          <w:tcPr>
            <w:shd w:val="clear" w:color="fde9d8" w:fill="fde9d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0" w:type="dxa"/>
            <w:vAlign w:val="center"/>
            <w:vMerge w:val="continue"/>
            <w:textDirection w:val="lrTb"/>
            <w:noWrap w:val="false"/>
          </w:tcPr>
          <w:p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40"/>
                <w:u w:val="none"/>
                <w:vertAlign w:val="baseline"/>
              </w:rPr>
            </w:r>
            <w:r/>
          </w:p>
        </w:tc>
        <w:tc>
          <w:tcPr>
            <w:shd w:val="clear" w:color="fde9d8" w:fill="fde9d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60" w:type="dxa"/>
            <w:vAlign w:val="top"/>
            <w:textDirection w:val="lrTb"/>
            <w:noWrap w:val="false"/>
          </w:tcPr>
          <w:p>
            <w:pPr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Сварочный трансформатор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0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2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0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40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</w:tr>
      <w:tr>
        <w:tblPrEx/>
        <w:trPr>
          <w:trHeight w:val="0"/>
        </w:trPr>
        <w:tc>
          <w:tcPr>
            <w:shd w:val="clear" w:color="fde9d8" w:fill="fde9d8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40"/>
                <w:u w:val="none"/>
                <w:vertAlign w:val="baseline"/>
              </w:rPr>
            </w:r>
            <w:r/>
          </w:p>
        </w:tc>
        <w:tc>
          <w:tcPr>
            <w:shd w:val="clear" w:color="fde9d8" w:fill="fde9d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0" w:type="dxa"/>
            <w:vAlign w:val="center"/>
            <w:vMerge w:val="continue"/>
            <w:textDirection w:val="lrTb"/>
            <w:noWrap w:val="false"/>
          </w:tcPr>
          <w:p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40"/>
                <w:u w:val="none"/>
                <w:vertAlign w:val="baseline"/>
              </w:rPr>
            </w:r>
            <w:r/>
          </w:p>
        </w:tc>
        <w:tc>
          <w:tcPr>
            <w:shd w:val="clear" w:color="fde9d8" w:fill="fde9d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60" w:type="dxa"/>
            <w:vAlign w:val="top"/>
            <w:textDirection w:val="lrTb"/>
            <w:noWrap w:val="false"/>
          </w:tcPr>
          <w:p>
            <w:pPr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Передвижной сварочный агрегат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0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2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0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40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</w:tr>
      <w:tr>
        <w:tblPrEx/>
        <w:trPr>
          <w:trHeight w:val="0"/>
        </w:trPr>
        <w:tc>
          <w:tcPr>
            <w:shd w:val="clear" w:color="fde9d8" w:fill="fde9d8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40"/>
                <w:u w:val="none"/>
                <w:vertAlign w:val="baseline"/>
              </w:rPr>
            </w:r>
            <w:r/>
          </w:p>
        </w:tc>
        <w:tc>
          <w:tcPr>
            <w:shd w:val="clear" w:color="fde9d8" w:fill="fde9d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0" w:type="dxa"/>
            <w:vAlign w:val="center"/>
            <w:vMerge w:val="continue"/>
            <w:textDirection w:val="lrTb"/>
            <w:noWrap w:val="false"/>
          </w:tcPr>
          <w:p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40"/>
                <w:u w:val="none"/>
                <w:vertAlign w:val="baseline"/>
              </w:rPr>
            </w:r>
            <w:r/>
          </w:p>
        </w:tc>
        <w:tc>
          <w:tcPr>
            <w:shd w:val="clear" w:color="fde9d8" w:fill="fde9d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60" w:type="dxa"/>
            <w:vAlign w:val="top"/>
            <w:textDirection w:val="lrTb"/>
            <w:noWrap w:val="false"/>
          </w:tcPr>
          <w:p>
            <w:pPr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Виброплита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0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2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0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40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</w:tr>
      <w:tr>
        <w:tblPrEx/>
        <w:trPr>
          <w:trHeight w:val="0"/>
        </w:trPr>
        <w:tc>
          <w:tcPr>
            <w:shd w:val="clear" w:color="fde9d8" w:fill="fde9d8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40"/>
                <w:u w:val="none"/>
                <w:vertAlign w:val="baseline"/>
              </w:rPr>
            </w:r>
            <w:r/>
          </w:p>
        </w:tc>
        <w:tc>
          <w:tcPr>
            <w:shd w:val="clear" w:color="fde9d8" w:fill="fde9d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0" w:type="dxa"/>
            <w:vAlign w:val="center"/>
            <w:vMerge w:val="continue"/>
            <w:textDirection w:val="lrTb"/>
            <w:noWrap w:val="false"/>
          </w:tcPr>
          <w:p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40"/>
                <w:u w:val="none"/>
                <w:vertAlign w:val="baseline"/>
              </w:rPr>
            </w:r>
            <w:r/>
          </w:p>
        </w:tc>
        <w:tc>
          <w:tcPr>
            <w:shd w:val="clear" w:color="fde9d8" w:fill="fde9d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60" w:type="dxa"/>
            <w:vAlign w:val="top"/>
            <w:textDirection w:val="lrTb"/>
            <w:noWrap w:val="false"/>
          </w:tcPr>
          <w:p>
            <w:pPr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Передвижная компрессорная установка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0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2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0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40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</w:tr>
      <w:tr>
        <w:tblPrEx/>
        <w:trPr>
          <w:trHeight w:val="0"/>
        </w:trPr>
        <w:tc>
          <w:tcPr>
            <w:shd w:val="clear" w:color="fde9d8" w:fill="fde9d8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40"/>
                <w:u w:val="none"/>
                <w:vertAlign w:val="baseline"/>
              </w:rPr>
            </w:r>
            <w:r/>
          </w:p>
        </w:tc>
        <w:tc>
          <w:tcPr>
            <w:shd w:val="clear" w:color="fde9d8" w:fill="fde9d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0" w:type="dxa"/>
            <w:vAlign w:val="center"/>
            <w:vMerge w:val="continue"/>
            <w:textDirection w:val="lrTb"/>
            <w:noWrap w:val="false"/>
          </w:tcPr>
          <w:p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40"/>
                <w:u w:val="none"/>
                <w:vertAlign w:val="baseline"/>
              </w:rPr>
            </w:r>
            <w:r/>
          </w:p>
        </w:tc>
        <w:tc>
          <w:tcPr>
            <w:shd w:val="clear" w:color="fde9d8" w:fill="fde9d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60" w:type="dxa"/>
            <w:vAlign w:val="top"/>
            <w:textDirection w:val="lrTb"/>
            <w:noWrap w:val="false"/>
          </w:tcPr>
          <w:p>
            <w:pPr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Отбойный молоток пневмо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0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0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40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</w:tr>
      <w:tr>
        <w:tblPrEx/>
        <w:trPr>
          <w:trHeight w:val="0"/>
        </w:trPr>
        <w:tc>
          <w:tcPr>
            <w:shd w:val="clear" w:color="fde9d8" w:fill="fde9d8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40"/>
                <w:u w:val="none"/>
                <w:vertAlign w:val="baseline"/>
              </w:rPr>
            </w:r>
            <w:r/>
          </w:p>
        </w:tc>
        <w:tc>
          <w:tcPr>
            <w:shd w:val="clear" w:color="fde9d8" w:fill="fde9d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0" w:type="dxa"/>
            <w:vAlign w:val="center"/>
            <w:vMerge w:val="continue"/>
            <w:textDirection w:val="lrTb"/>
            <w:noWrap w:val="false"/>
          </w:tcPr>
          <w:p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40"/>
                <w:u w:val="none"/>
                <w:vertAlign w:val="baseline"/>
              </w:rPr>
            </w:r>
            <w:r/>
          </w:p>
        </w:tc>
        <w:tc>
          <w:tcPr>
            <w:shd w:val="clear" w:color="fde9d8" w:fill="fde9d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60" w:type="dxa"/>
            <w:vAlign w:val="top"/>
            <w:textDirection w:val="lrTb"/>
            <w:noWrap w:val="false"/>
          </w:tcPr>
          <w:p>
            <w:pPr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Бетонолом пневмо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0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0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40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</w:tr>
      <w:tr>
        <w:tblPrEx/>
        <w:trPr>
          <w:trHeight w:val="0"/>
        </w:trPr>
        <w:tc>
          <w:tcPr>
            <w:shd w:val="clear" w:color="fde9d8" w:fill="fde9d8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40"/>
                <w:u w:val="none"/>
                <w:vertAlign w:val="baseline"/>
              </w:rPr>
            </w:r>
            <w:r/>
          </w:p>
        </w:tc>
        <w:tc>
          <w:tcPr>
            <w:shd w:val="clear" w:color="fde9d8" w:fill="fde9d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0" w:type="dxa"/>
            <w:vAlign w:val="center"/>
            <w:vMerge w:val="continue"/>
            <w:textDirection w:val="lrTb"/>
            <w:noWrap w:val="false"/>
          </w:tcPr>
          <w:p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40"/>
                <w:u w:val="none"/>
                <w:vertAlign w:val="baseline"/>
              </w:rPr>
            </w:r>
            <w:r/>
          </w:p>
        </w:tc>
        <w:tc>
          <w:tcPr>
            <w:shd w:val="clear" w:color="fde9d8" w:fill="fde9d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60" w:type="dxa"/>
            <w:vAlign w:val="top"/>
            <w:textDirection w:val="lrTb"/>
            <w:noWrap w:val="false"/>
          </w:tcPr>
          <w:p>
            <w:pPr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Мойка для мытья колес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0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2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0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40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</w:tr>
      <w:tr>
        <w:tblPrEx/>
        <w:trPr>
          <w:trHeight w:val="0"/>
        </w:trPr>
        <w:tc>
          <w:tcPr>
            <w:shd w:val="clear" w:color="fde9d8" w:fill="fde9d8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40"/>
                <w:u w:val="none"/>
                <w:vertAlign w:val="baseline"/>
              </w:rPr>
            </w:r>
            <w:r/>
          </w:p>
        </w:tc>
        <w:tc>
          <w:tcPr>
            <w:shd w:val="clear" w:color="fde9d8" w:fill="fde9d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0" w:type="dxa"/>
            <w:vAlign w:val="center"/>
            <w:vMerge w:val="continue"/>
            <w:textDirection w:val="lrTb"/>
            <w:noWrap w:val="false"/>
          </w:tcPr>
          <w:p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40"/>
                <w:u w:val="none"/>
                <w:vertAlign w:val="baseline"/>
              </w:rPr>
            </w:r>
            <w:r/>
          </w:p>
        </w:tc>
        <w:tc>
          <w:tcPr>
            <w:shd w:val="clear" w:color="fde9d8" w:fill="fde9d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60" w:type="dxa"/>
            <w:vAlign w:val="top"/>
            <w:textDirection w:val="lrTb"/>
            <w:noWrap w:val="false"/>
          </w:tcPr>
          <w:p>
            <w:pPr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Передвижная осветительная установка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0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4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0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40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</w:tr>
      <w:tr>
        <w:tblPrEx/>
        <w:trPr>
          <w:trHeight w:val="0"/>
        </w:trPr>
        <w:tc>
          <w:tcPr>
            <w:shd w:val="clear" w:color="fde9d8" w:fill="fde9d8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40"/>
                <w:u w:val="none"/>
                <w:vertAlign w:val="baseline"/>
              </w:rPr>
            </w:r>
            <w:r/>
          </w:p>
        </w:tc>
        <w:tc>
          <w:tcPr>
            <w:shd w:val="clear" w:color="fde9d8" w:fill="fde9d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0" w:type="dxa"/>
            <w:vAlign w:val="center"/>
            <w:vMerge w:val="continue"/>
            <w:textDirection w:val="lrTb"/>
            <w:noWrap w:val="false"/>
          </w:tcPr>
          <w:p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40"/>
                <w:u w:val="none"/>
                <w:vertAlign w:val="baseline"/>
              </w:rPr>
            </w:r>
            <w:r/>
          </w:p>
        </w:tc>
        <w:tc>
          <w:tcPr>
            <w:shd w:val="clear" w:color="fde9d8" w:fill="fde9d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60" w:type="dxa"/>
            <w:vAlign w:val="top"/>
            <w:textDirection w:val="lrTb"/>
            <w:noWrap w:val="false"/>
          </w:tcPr>
          <w:p>
            <w:pPr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Электротехническая лаборатория (от 10 кВ)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0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0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40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</w:tr>
      <w:tr>
        <w:tblPrEx/>
        <w:trPr>
          <w:trHeight w:val="0"/>
        </w:trPr>
        <w:tc>
          <w:tcPr>
            <w:shd w:val="clear" w:color="fde9d8" w:fill="fde9d8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40"/>
                <w:u w:val="none"/>
                <w:vertAlign w:val="baseline"/>
              </w:rPr>
            </w:r>
            <w:r/>
          </w:p>
        </w:tc>
        <w:tc>
          <w:tcPr>
            <w:shd w:val="clear" w:color="fde9d8" w:fill="fde9d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0" w:type="dxa"/>
            <w:vAlign w:val="center"/>
            <w:vMerge w:val="continue"/>
            <w:textDirection w:val="lrTb"/>
            <w:noWrap w:val="false"/>
          </w:tcPr>
          <w:p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40"/>
                <w:u w:val="none"/>
                <w:vertAlign w:val="baseline"/>
              </w:rPr>
            </w:r>
            <w:r/>
          </w:p>
        </w:tc>
        <w:tc>
          <w:tcPr>
            <w:shd w:val="clear" w:color="fde9d8" w:fill="fde9d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60" w:type="dxa"/>
            <w:vAlign w:val="top"/>
            <w:textDirection w:val="lrTb"/>
            <w:noWrap w:val="false"/>
          </w:tcPr>
          <w:p>
            <w:pPr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Манипулятор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0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2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0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40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</w:tr>
      <w:tr>
        <w:tblPrEx/>
        <w:trPr>
          <w:trHeight w:val="0"/>
        </w:trPr>
        <w:tc>
          <w:tcPr>
            <w:shd w:val="clear" w:color="fde9d8" w:fill="fde9d8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40"/>
                <w:u w:val="none"/>
                <w:vertAlign w:val="baseline"/>
              </w:rPr>
            </w:r>
            <w:r/>
          </w:p>
        </w:tc>
        <w:tc>
          <w:tcPr>
            <w:shd w:val="clear" w:color="fde9d8" w:fill="fde9d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0" w:type="dxa"/>
            <w:vAlign w:val="center"/>
            <w:vMerge w:val="continue"/>
            <w:textDirection w:val="lrTb"/>
            <w:noWrap w:val="false"/>
          </w:tcPr>
          <w:p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40"/>
                <w:u w:val="none"/>
                <w:vertAlign w:val="baseline"/>
              </w:rPr>
            </w:r>
            <w:r/>
          </w:p>
        </w:tc>
        <w:tc>
          <w:tcPr>
            <w:shd w:val="clear" w:color="fde9d8" w:fill="fde9d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60" w:type="dxa"/>
            <w:vAlign w:val="top"/>
            <w:textDirection w:val="lrTb"/>
            <w:noWrap w:val="false"/>
          </w:tcPr>
          <w:p>
            <w:pPr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Установка для ГНБ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0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0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40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</w:tr>
      <w:tr>
        <w:tblPrEx/>
        <w:trPr>
          <w:trHeight w:val="0"/>
        </w:trPr>
        <w:tc>
          <w:tcPr>
            <w:shd w:val="clear" w:color="fde9d8" w:fill="fde9d8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40"/>
                <w:u w:val="none"/>
                <w:vertAlign w:val="baseline"/>
              </w:rPr>
            </w:r>
            <w:r/>
          </w:p>
        </w:tc>
        <w:tc>
          <w:tcPr>
            <w:shd w:val="clear" w:color="fde9d8" w:fill="fde9d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0" w:type="dxa"/>
            <w:vAlign w:val="center"/>
            <w:vMerge w:val="continue"/>
            <w:textDirection w:val="lrTb"/>
            <w:noWrap w:val="false"/>
          </w:tcPr>
          <w:p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40"/>
                <w:u w:val="none"/>
                <w:vertAlign w:val="baseline"/>
              </w:rPr>
            </w:r>
            <w:r/>
          </w:p>
        </w:tc>
        <w:tc>
          <w:tcPr>
            <w:shd w:val="clear" w:color="fde9d8" w:fill="fde9d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60" w:type="dxa"/>
            <w:vAlign w:val="top"/>
            <w:textDirection w:val="lrTb"/>
            <w:noWrap w:val="false"/>
          </w:tcPr>
          <w:p>
            <w:pPr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Офисное помещение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0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0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40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</w:tr>
      <w:tr>
        <w:tblPrEx/>
        <w:trPr>
          <w:trHeight w:val="0"/>
        </w:trPr>
        <w:tc>
          <w:tcPr>
            <w:shd w:val="clear" w:color="fde9d8" w:fill="fde9d8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40"/>
                <w:u w:val="none"/>
                <w:vertAlign w:val="baseline"/>
              </w:rPr>
            </w:r>
            <w:r/>
          </w:p>
        </w:tc>
        <w:tc>
          <w:tcPr>
            <w:shd w:val="clear" w:color="fde9d8" w:fill="fde9d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0" w:type="dxa"/>
            <w:vAlign w:val="center"/>
            <w:vMerge w:val="continue"/>
            <w:textDirection w:val="lrTb"/>
            <w:noWrap w:val="false"/>
          </w:tcPr>
          <w:p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40"/>
                <w:u w:val="none"/>
                <w:vertAlign w:val="baseline"/>
              </w:rPr>
            </w:r>
            <w:r/>
          </w:p>
        </w:tc>
        <w:tc>
          <w:tcPr>
            <w:shd w:val="clear" w:color="fde9d8" w:fill="fde9d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60" w:type="dxa"/>
            <w:vAlign w:val="top"/>
            <w:textDirection w:val="lrTb"/>
            <w:noWrap w:val="false"/>
          </w:tcPr>
          <w:p>
            <w:pPr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Электронный тахеометр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0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4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0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40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</w:tr>
      <w:tr>
        <w:tblPrEx/>
        <w:trPr>
          <w:trHeight w:val="510"/>
        </w:trPr>
        <w:tc>
          <w:tcPr>
            <w:shd w:val="clear" w:color="fde9d8" w:fill="fde9d8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40"/>
                <w:u w:val="none"/>
                <w:vertAlign w:val="baseline"/>
              </w:rPr>
            </w:r>
            <w:r/>
          </w:p>
        </w:tc>
        <w:tc>
          <w:tcPr>
            <w:shd w:val="clear" w:color="fde9d8" w:fill="fde9d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0" w:type="dxa"/>
            <w:vAlign w:val="center"/>
            <w:vMerge w:val="continue"/>
            <w:textDirection w:val="lrTb"/>
            <w:noWrap w:val="false"/>
          </w:tcPr>
          <w:p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40"/>
                <w:u w:val="none"/>
                <w:vertAlign w:val="baseline"/>
              </w:rPr>
            </w:r>
            <w:r/>
          </w:p>
        </w:tc>
        <w:tc>
          <w:tcPr>
            <w:shd w:val="clear" w:color="fde9d8" w:fill="fde9d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60" w:type="dxa"/>
            <w:vAlign w:val="top"/>
            <w:textDirection w:val="lrTb"/>
            <w:noWrap w:val="false"/>
          </w:tcPr>
          <w:p>
            <w:pPr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Дальномер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0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0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40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</w:tr>
      <w:tr>
        <w:tblPrEx/>
        <w:trPr>
          <w:trHeight w:val="510"/>
        </w:trPr>
        <w:tc>
          <w:tcPr>
            <w:shd w:val="clear" w:color="fde9d8" w:fill="fde9d8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40"/>
                <w:u w:val="none"/>
                <w:vertAlign w:val="baseline"/>
              </w:rPr>
            </w:r>
            <w:r/>
          </w:p>
        </w:tc>
        <w:tc>
          <w:tcPr>
            <w:shd w:val="clear" w:color="fde9d8" w:fill="fde9d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0" w:type="dxa"/>
            <w:vAlign w:val="center"/>
            <w:vMerge w:val="continue"/>
            <w:textDirection w:val="lrTb"/>
            <w:noWrap w:val="false"/>
          </w:tcPr>
          <w:p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40"/>
                <w:u w:val="none"/>
                <w:vertAlign w:val="baseline"/>
              </w:rPr>
            </w:r>
            <w:r/>
          </w:p>
        </w:tc>
        <w:tc>
          <w:tcPr>
            <w:shd w:val="clear" w:color="fde9d8" w:fill="fde9d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60" w:type="dxa"/>
            <w:vAlign w:val="top"/>
            <w:textDirection w:val="lrTb"/>
            <w:noWrap w:val="false"/>
          </w:tcPr>
          <w:p>
            <w:pPr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Нивелир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0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2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0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40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</w:tr>
      <w:tr>
        <w:tblPrEx/>
        <w:trPr>
          <w:trHeight w:val="0"/>
        </w:trPr>
        <w:tc>
          <w:tcPr>
            <w:shd w:val="clear" w:color="fde9d8" w:fill="fde9d8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40"/>
                <w:u w:val="none"/>
                <w:vertAlign w:val="baseline"/>
              </w:rPr>
            </w:r>
            <w:r/>
          </w:p>
        </w:tc>
        <w:tc>
          <w:tcPr>
            <w:shd w:val="clear" w:color="fde9d8" w:fill="fde9d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0" w:type="dxa"/>
            <w:vAlign w:val="center"/>
            <w:vMerge w:val="continue"/>
            <w:textDirection w:val="lrTb"/>
            <w:noWrap w:val="false"/>
          </w:tcPr>
          <w:p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40"/>
                <w:u w:val="none"/>
                <w:vertAlign w:val="baseline"/>
              </w:rPr>
            </w:r>
            <w:r/>
          </w:p>
        </w:tc>
        <w:tc>
          <w:tcPr>
            <w:shd w:val="clear" w:color="fde9d8" w:fill="fde9d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60" w:type="dxa"/>
            <w:vAlign w:val="top"/>
            <w:textDirection w:val="lrTb"/>
            <w:noWrap w:val="false"/>
          </w:tcPr>
          <w:p>
            <w:pPr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Лицензированный программный комплекс «АО»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0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2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0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40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</w:tr>
      <w:tr>
        <w:tblPrEx/>
        <w:trPr>
          <w:trHeight w:val="0"/>
        </w:trPr>
        <w:tc>
          <w:tcPr>
            <w:shd w:val="clear" w:color="fde9d8" w:fill="fde9d8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40"/>
                <w:u w:val="none"/>
                <w:vertAlign w:val="baseline"/>
              </w:rPr>
            </w:r>
            <w:r/>
          </w:p>
        </w:tc>
        <w:tc>
          <w:tcPr>
            <w:shd w:val="clear" w:color="fde9d8" w:fill="fde9d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0" w:type="dxa"/>
            <w:vAlign w:val="center"/>
            <w:vMerge w:val="continue"/>
            <w:textDirection w:val="lrTb"/>
            <w:noWrap w:val="false"/>
          </w:tcPr>
          <w:p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40"/>
                <w:u w:val="none"/>
                <w:vertAlign w:val="baseline"/>
              </w:rPr>
            </w:r>
            <w:r/>
          </w:p>
        </w:tc>
        <w:tc>
          <w:tcPr>
            <w:shd w:val="clear" w:color="fde9d8" w:fill="fde9d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60" w:type="dxa"/>
            <w:vAlign w:val="top"/>
            <w:textDirection w:val="lrTb"/>
            <w:noWrap w:val="false"/>
          </w:tcPr>
          <w:p>
            <w:pPr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Лицензированный программный комплекс «Гранд-Смета»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0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2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0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40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</w:tr>
      <w:tr>
        <w:tblPrEx/>
        <w:trPr>
          <w:trHeight w:val="66"/>
        </w:trPr>
        <w:tc>
          <w:tcPr>
            <w:shd w:val="clear" w:color="fde9d8" w:fill="fde9d8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40"/>
                <w:u w:val="none"/>
                <w:vertAlign w:val="baseline"/>
              </w:rPr>
            </w:r>
            <w:r/>
          </w:p>
        </w:tc>
        <w:tc>
          <w:tcPr>
            <w:shd w:val="clear" w:color="fde9d8" w:fill="fde9d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0" w:type="dxa"/>
            <w:vAlign w:val="center"/>
            <w:vMerge w:val="continue"/>
            <w:textDirection w:val="lrTb"/>
            <w:noWrap w:val="false"/>
          </w:tcPr>
          <w:p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40"/>
                <w:u w:val="none"/>
                <w:vertAlign w:val="baseline"/>
              </w:rPr>
            </w:r>
            <w:r/>
          </w:p>
        </w:tc>
        <w:tc>
          <w:tcPr>
            <w:shd w:val="clear" w:color="fde9d8" w:fill="fde9d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60" w:type="dxa"/>
            <w:vAlign w:val="top"/>
            <w:textDirection w:val="lrTb"/>
            <w:noWrap w:val="false"/>
          </w:tcPr>
          <w:p>
            <w:pPr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Лицензированный программный комплекс «AutoCAD», либо «nanoCAD» или др. альтернативные программные комплексы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0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0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40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</w:tr>
      <w:tr>
        <w:tblPrEx/>
        <w:trPr>
          <w:trHeight w:val="0"/>
        </w:trPr>
        <w:tc>
          <w:tcPr>
            <w:shd w:val="clear" w:color="fde9d8" w:fill="fde9d8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40"/>
                <w:u w:val="none"/>
                <w:vertAlign w:val="baseline"/>
              </w:rPr>
            </w:r>
            <w:r/>
          </w:p>
        </w:tc>
        <w:tc>
          <w:tcPr>
            <w:shd w:val="clear" w:color="fde9d8" w:fill="fde9d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0" w:type="dxa"/>
            <w:vAlign w:val="center"/>
            <w:vMerge w:val="continue"/>
            <w:textDirection w:val="lrTb"/>
            <w:noWrap w:val="false"/>
          </w:tcPr>
          <w:p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40"/>
                <w:u w:val="none"/>
                <w:vertAlign w:val="baseline"/>
              </w:rPr>
            </w:r>
            <w:r/>
          </w:p>
        </w:tc>
        <w:tc>
          <w:tcPr>
            <w:shd w:val="clear" w:color="fde9d8" w:fill="fde9d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60" w:type="dxa"/>
            <w:vAlign w:val="top"/>
            <w:textDirection w:val="lrTb"/>
            <w:noWrap w:val="false"/>
          </w:tcPr>
          <w:p>
            <w:pPr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Комплект геодезической аппаратуры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0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2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0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40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</w:tr>
      <w:tr>
        <w:tblPrEx/>
        <w:trPr>
          <w:trHeight w:val="570"/>
        </w:trPr>
        <w:tc>
          <w:tcPr>
            <w:shd w:val="clear" w:color="fde9d8" w:fill="fde9d8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40"/>
                <w:u w:val="none"/>
                <w:vertAlign w:val="baseline"/>
              </w:rPr>
            </w:r>
            <w:r/>
          </w:p>
        </w:tc>
        <w:tc>
          <w:tcPr>
            <w:shd w:val="clear" w:color="fde9d8" w:fill="fde9d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0" w:type="dxa"/>
            <w:vAlign w:val="center"/>
            <w:vMerge w:val="continue"/>
            <w:textDirection w:val="lrTb"/>
            <w:noWrap w:val="false"/>
          </w:tcPr>
          <w:p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40"/>
                <w:u w:val="none"/>
                <w:vertAlign w:val="baseline"/>
              </w:rPr>
            </w:r>
            <w:r/>
          </w:p>
        </w:tc>
        <w:tc>
          <w:tcPr>
            <w:shd w:val="clear" w:color="fde9d8" w:fill="fde9d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60" w:type="dxa"/>
            <w:vAlign w:val="top"/>
            <w:textDirection w:val="lrTb"/>
            <w:noWrap w:val="false"/>
          </w:tcPr>
          <w:p>
            <w:pPr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Компьютерное и программное обеспечение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0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22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0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40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</w:tr>
      <w:tr>
        <w:tblPrEx/>
        <w:trPr>
          <w:trHeight w:val="0"/>
        </w:trPr>
        <w:tc>
          <w:tcPr>
            <w:shd w:val="clear" w:color="fde9d8" w:fill="fde9d8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40"/>
                <w:u w:val="none"/>
                <w:vertAlign w:val="baseline"/>
              </w:rPr>
            </w:r>
            <w:r/>
          </w:p>
        </w:tc>
        <w:tc>
          <w:tcPr>
            <w:shd w:val="clear" w:color="fde9d8" w:fill="fde9d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0" w:type="dxa"/>
            <w:vAlign w:val="center"/>
            <w:vMerge w:val="continue"/>
            <w:textDirection w:val="lrTb"/>
            <w:noWrap w:val="false"/>
          </w:tcPr>
          <w:p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40"/>
                <w:u w:val="none"/>
                <w:vertAlign w:val="baseline"/>
              </w:rPr>
            </w:r>
            <w:r/>
          </w:p>
        </w:tc>
        <w:tc>
          <w:tcPr>
            <w:shd w:val="clear" w:color="fde9d8" w:fill="fde9d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60" w:type="dxa"/>
            <w:vAlign w:val="top"/>
            <w:textDirection w:val="lrTb"/>
            <w:noWrap w:val="false"/>
          </w:tcPr>
          <w:p>
            <w:pPr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МФУ с форматом печати А0-А4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0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5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0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40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</w:tr>
      <w:tr>
        <w:tblPrEx/>
        <w:trPr>
          <w:trHeight w:val="0"/>
        </w:trPr>
        <w:tc>
          <w:tcPr>
            <w:shd w:val="clear" w:color="fde9d8" w:fill="fde9d8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40"/>
                <w:u w:val="none"/>
                <w:vertAlign w:val="baseline"/>
              </w:rPr>
            </w:r>
            <w:r/>
          </w:p>
        </w:tc>
        <w:tc>
          <w:tcPr>
            <w:shd w:val="clear" w:color="fde9d8" w:fill="fde9d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0" w:type="dxa"/>
            <w:vAlign w:val="center"/>
            <w:vMerge w:val="continue"/>
            <w:textDirection w:val="lrTb"/>
            <w:noWrap w:val="false"/>
          </w:tcPr>
          <w:p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40"/>
                <w:u w:val="none"/>
                <w:vertAlign w:val="baseline"/>
              </w:rPr>
            </w:r>
            <w:r/>
          </w:p>
        </w:tc>
        <w:tc>
          <w:tcPr>
            <w:shd w:val="clear" w:color="fde9d8" w:fill="fde9d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60" w:type="dxa"/>
            <w:vAlign w:val="top"/>
            <w:textDirection w:val="lrTb"/>
            <w:noWrap w:val="false"/>
          </w:tcPr>
          <w:p>
            <w:pPr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Плоттер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0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2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0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40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</w:tr>
      <w:tr>
        <w:tblPrEx/>
        <w:trPr>
          <w:trHeight w:val="0"/>
        </w:trPr>
        <w:tc>
          <w:tcPr>
            <w:shd w:val="clear" w:color="fde9d8" w:fill="fde9d8"/>
            <w:tcBorders>
              <w:top w:val="single" w:color="000000" w:sz="6" w:space="0"/>
              <w:left w:val="single" w:color="000000" w:sz="12" w:space="0"/>
              <w:bottom w:val="single" w:color="000000" w:sz="12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40"/>
                <w:u w:val="none"/>
                <w:vertAlign w:val="baseline"/>
              </w:rPr>
            </w:r>
            <w:r/>
          </w:p>
        </w:tc>
        <w:tc>
          <w:tcPr>
            <w:shd w:val="clear" w:color="fde9d8" w:fill="fde9d8"/>
            <w:tcBorders>
              <w:top w:val="single" w:color="000000" w:sz="6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0" w:type="dxa"/>
            <w:vAlign w:val="center"/>
            <w:vMerge w:val="continue"/>
            <w:textDirection w:val="lrTb"/>
            <w:noWrap w:val="false"/>
          </w:tcPr>
          <w:p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40"/>
                <w:u w:val="none"/>
                <w:vertAlign w:val="baseline"/>
              </w:rPr>
            </w:r>
            <w:r/>
          </w:p>
        </w:tc>
        <w:tc>
          <w:tcPr>
            <w:shd w:val="clear" w:color="fde9d8" w:fill="fde9d8"/>
            <w:tcBorders>
              <w:top w:val="single" w:color="000000" w:sz="6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60" w:type="dxa"/>
            <w:vAlign w:val="top"/>
            <w:textDirection w:val="lrTb"/>
            <w:noWrap w:val="false"/>
          </w:tcPr>
          <w:p>
            <w:pPr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Брошюровщик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0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2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0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40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</w:tr>
      <w:tr>
        <w:tblPrEx/>
        <w:trPr>
          <w:trHeight w:val="0"/>
        </w:trPr>
        <w:tc>
          <w:tcPr>
            <w:gridSpan w:val="3"/>
            <w:shd w:val="clear" w:color="b2a1c6" w:fill="b2a1c6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70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ИТОГО МТР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shd w:val="clear" w:color="b2a1c6" w:fill="b2a1c6"/>
            <w:tcBorders>
              <w:top w:val="single" w:color="000000" w:sz="12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0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shd w:val="clear" w:color="b2a1c6" w:fill="b2a1c6"/>
            <w:tcBorders>
              <w:top w:val="single" w:color="000000" w:sz="12" w:space="0"/>
              <w:left w:val="single" w:color="000000" w:sz="6" w:space="0"/>
              <w:bottom w:val="single" w:color="000000" w:sz="12" w:space="0"/>
              <w:right w:val="single" w:color="000000" w:sz="12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0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shd w:val="clear" w:color="b2a1c6" w:fill="b2a1c6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29,03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shd w:val="clear" w:color="b2a1c6" w:fill="b2a1c6"/>
            <w:tcBorders>
              <w:top w:val="single" w:color="000000" w:sz="12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shd w:val="clear" w:color="b2a1c6" w:fill="b2a1c6"/>
            <w:tcBorders>
              <w:top w:val="single" w:color="000000" w:sz="12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30,00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shd w:val="clear" w:color="b2a1c6" w:fill="b2a1c6"/>
            <w:tcBorders>
              <w:top w:val="single" w:color="000000" w:sz="12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shd w:val="clear" w:color="b2a1c6" w:fill="b2a1c6"/>
            <w:tcBorders>
              <w:top w:val="single" w:color="000000" w:sz="12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30,00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shd w:val="clear" w:color="b2a1c6" w:fill="b2a1c6"/>
            <w:tcBorders>
              <w:top w:val="single" w:color="000000" w:sz="12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shd w:val="clear" w:color="b2a1c6" w:fill="b2a1c6"/>
            <w:tcBorders>
              <w:top w:val="single" w:color="000000" w:sz="12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30,00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shd w:val="clear" w:color="b2a1c6" w:fill="b2a1c6"/>
            <w:tcBorders>
              <w:top w:val="single" w:color="000000" w:sz="12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shd w:val="clear" w:color="b2a1c6" w:fill="b2a1c6"/>
            <w:tcBorders>
              <w:top w:val="single" w:color="000000" w:sz="12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30,00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shd w:val="clear" w:color="b2a1c6" w:fill="b2a1c6"/>
            <w:tcBorders>
              <w:top w:val="single" w:color="000000" w:sz="12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</w:tr>
      <w:tr>
        <w:tblPrEx/>
        <w:trPr>
          <w:trHeight w:val="0"/>
        </w:trPr>
        <w:tc>
          <w:tcPr>
            <w:gridSpan w:val="3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70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ИТОГО БАЛЛОВ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12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0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12" w:space="0"/>
              <w:left w:val="single" w:color="000000" w:sz="6" w:space="0"/>
              <w:bottom w:val="single" w:color="000000" w:sz="12" w:space="0"/>
              <w:right w:val="single" w:color="000000" w:sz="12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0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shd w:val="clear" w:color="ffff00" w:fill="ffff00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81,83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shd w:val="clear" w:color="ffff00" w:fill="ffff00"/>
            <w:tcBorders>
              <w:top w:val="single" w:color="000000" w:sz="12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shd w:val="clear" w:color="ffff00" w:fill="ffff00"/>
            <w:tcBorders>
              <w:top w:val="single" w:color="000000" w:sz="12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80,80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shd w:val="clear" w:color="ffff00" w:fill="ffff00"/>
            <w:tcBorders>
              <w:top w:val="single" w:color="000000" w:sz="12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shd w:val="clear" w:color="ffff00" w:fill="ffff00"/>
            <w:tcBorders>
              <w:top w:val="single" w:color="000000" w:sz="12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83,20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shd w:val="clear" w:color="ffff00" w:fill="ffff00"/>
            <w:tcBorders>
              <w:top w:val="single" w:color="000000" w:sz="12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shd w:val="clear" w:color="ffff00" w:fill="ffff00"/>
            <w:tcBorders>
              <w:top w:val="single" w:color="000000" w:sz="12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79,60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shd w:val="clear" w:color="ffff00" w:fill="ffff00"/>
            <w:tcBorders>
              <w:top w:val="single" w:color="000000" w:sz="12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shd w:val="clear" w:color="ffff00" w:fill="ffff00"/>
            <w:tcBorders>
              <w:top w:val="single" w:color="000000" w:sz="12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80,40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shd w:val="clear" w:color="ffff00" w:fill="ffff00"/>
            <w:tcBorders>
              <w:top w:val="single" w:color="000000" w:sz="12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</w:tr>
    </w:tbl>
    <w:p>
      <w:pPr>
        <w:pStyle w:val="949"/>
        <w:jc w:val="both"/>
        <w:tabs>
          <w:tab w:val="num" w:pos="1193" w:leader="none"/>
        </w:tabs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49"/>
        <w:jc w:val="both"/>
        <w:tabs>
          <w:tab w:val="num" w:pos="1193" w:leader="none"/>
        </w:tabs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49"/>
        <w:jc w:val="both"/>
        <w:tabs>
          <w:tab w:val="num" w:pos="1193" w:leader="none"/>
        </w:tabs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49"/>
        <w:jc w:val="both"/>
        <w:tabs>
          <w:tab w:val="num" w:pos="1193" w:leader="none"/>
        </w:tabs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49"/>
        <w:jc w:val="both"/>
        <w:tabs>
          <w:tab w:val="num" w:pos="1193" w:leader="none"/>
        </w:tabs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49"/>
        <w:jc w:val="both"/>
        <w:tabs>
          <w:tab w:val="num" w:pos="1193" w:leader="none"/>
        </w:tabs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49"/>
        <w:jc w:val="both"/>
        <w:tabs>
          <w:tab w:val="num" w:pos="1193" w:leader="none"/>
        </w:tabs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49"/>
        <w:jc w:val="both"/>
        <w:tabs>
          <w:tab w:val="num" w:pos="1193" w:leader="none"/>
        </w:tabs>
        <w:rPr>
          <w:sz w:val="22"/>
          <w:szCs w:val="22"/>
        </w:rPr>
        <w:sectPr>
          <w:footnotePr/>
          <w:endnotePr/>
          <w:type w:val="nextPage"/>
          <w:pgSz w:w="16838" w:h="11906" w:orient="landscape"/>
          <w:pgMar w:top="567" w:right="425" w:bottom="851" w:left="709" w:header="284" w:footer="40" w:gutter="0"/>
          <w:cols w:num="1" w:sep="0" w:space="720" w:equalWidth="1"/>
          <w:docGrid w:linePitch="360"/>
        </w:sect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82"/>
        <w:ind w:left="1080"/>
        <w:jc w:val="both"/>
        <w:widowControl w:val="off"/>
        <w:rPr>
          <w:bCs/>
          <w:sz w:val="22"/>
          <w:szCs w:val="22"/>
        </w:rPr>
      </w:pPr>
      <w:r>
        <w:rPr>
          <w:bCs/>
          <w:sz w:val="22"/>
          <w:szCs w:val="22"/>
        </w:rPr>
      </w:r>
      <w:r>
        <w:rPr>
          <w:bCs/>
          <w:sz w:val="22"/>
          <w:szCs w:val="22"/>
        </w:rPr>
      </w:r>
      <w:r>
        <w:rPr>
          <w:bCs/>
          <w:sz w:val="22"/>
          <w:szCs w:val="22"/>
        </w:rPr>
      </w:r>
    </w:p>
    <w:p>
      <w:pPr>
        <w:pStyle w:val="982"/>
        <w:ind w:left="1080"/>
        <w:jc w:val="both"/>
        <w:widowControl w:val="off"/>
        <w:rPr>
          <w:bCs/>
          <w:sz w:val="22"/>
          <w:szCs w:val="22"/>
        </w:rPr>
      </w:pPr>
      <w:r>
        <w:rPr>
          <w:bCs/>
          <w:sz w:val="22"/>
          <w:szCs w:val="22"/>
        </w:rPr>
      </w:r>
      <w:r>
        <w:rPr>
          <w:bCs/>
          <w:sz w:val="22"/>
          <w:szCs w:val="22"/>
        </w:rPr>
      </w:r>
      <w:r>
        <w:rPr>
          <w:bCs/>
          <w:sz w:val="22"/>
          <w:szCs w:val="22"/>
        </w:rPr>
      </w:r>
    </w:p>
    <w:p>
      <w:pPr>
        <w:pStyle w:val="982"/>
        <w:numPr>
          <w:ilvl w:val="0"/>
          <w:numId w:val="36"/>
        </w:numPr>
        <w:jc w:val="both"/>
        <w:widowControl w:val="off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Закупочная комиссия по результатам голосования решила:</w:t>
      </w:r>
      <w:r>
        <w:rPr>
          <w:bCs/>
          <w:sz w:val="22"/>
          <w:szCs w:val="22"/>
        </w:rPr>
      </w:r>
      <w:r>
        <w:rPr>
          <w:bCs/>
          <w:sz w:val="22"/>
          <w:szCs w:val="22"/>
        </w:rPr>
      </w:r>
    </w:p>
    <w:p>
      <w:pPr>
        <w:pStyle w:val="982"/>
        <w:ind w:left="1080"/>
        <w:jc w:val="both"/>
        <w:widowControl w:val="off"/>
        <w:rPr>
          <w:bCs/>
          <w:sz w:val="22"/>
          <w:szCs w:val="22"/>
        </w:rPr>
      </w:pPr>
      <w:r>
        <w:rPr>
          <w:bCs/>
          <w:sz w:val="22"/>
          <w:szCs w:val="22"/>
        </w:rPr>
      </w:r>
      <w:r>
        <w:rPr>
          <w:bCs/>
          <w:sz w:val="22"/>
          <w:szCs w:val="22"/>
        </w:rPr>
      </w:r>
      <w:r>
        <w:rPr>
          <w:bCs/>
          <w:sz w:val="22"/>
          <w:szCs w:val="22"/>
        </w:rPr>
      </w:r>
    </w:p>
    <w:p>
      <w:pPr>
        <w:pStyle w:val="949"/>
        <w:numPr>
          <w:ilvl w:val="0"/>
          <w:numId w:val="24"/>
        </w:numPr>
        <w:ind w:left="0" w:right="-144" w:firstLine="709"/>
        <w:jc w:val="both"/>
        <w:spacing w:after="240" w:line="276" w:lineRule="auto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Принимая во внимание </w:t>
      </w:r>
      <w:r>
        <w:rPr>
          <w:sz w:val="22"/>
          <w:szCs w:val="22"/>
        </w:rPr>
        <w:t xml:space="preserve">результаты произведенной экспертами экспертизы поступивших заявок </w:t>
      </w:r>
      <w:r>
        <w:rPr>
          <w:bCs/>
          <w:sz w:val="22"/>
          <w:szCs w:val="22"/>
        </w:rPr>
        <w:t xml:space="preserve">участников по </w:t>
      </w:r>
      <w:r>
        <w:rPr>
          <w:sz w:val="22"/>
          <w:szCs w:val="22"/>
        </w:rPr>
        <w:t xml:space="preserve">предварительному отбору</w:t>
      </w:r>
      <w:r>
        <w:rPr>
          <w:bCs/>
          <w:sz w:val="22"/>
          <w:szCs w:val="22"/>
        </w:rPr>
        <w:t xml:space="preserve"> в электронной форме </w:t>
      </w:r>
      <w:r>
        <w:rPr>
          <w:b w:val="0"/>
          <w:bCs w:val="0"/>
          <w:sz w:val="22"/>
          <w:szCs w:val="22"/>
        </w:rPr>
        <w:t xml:space="preserve">на право заключения рамочного соглашения на выполнение проектно-изыскательских работ, строительно-монтажных работ (с поставкой оборудования) и полного комплекса проектно-изыскательских и строительно-монтажных работ на электросетевых объектах</w:t>
      </w:r>
      <w:r>
        <w:rPr>
          <w:b w:val="0"/>
          <w:bCs w:val="0"/>
          <w:sz w:val="22"/>
          <w:szCs w:val="22"/>
        </w:rPr>
        <w:t xml:space="preserve"> в целях технологического присоединения энергопринимающих устройств заявителей, повышения надежности электросетевого комплекса, осуществление мероприятий для исполнения обязательств по сносу и восстановлению электросетевых объектов, попадающих в зону произ</w:t>
      </w:r>
      <w:r>
        <w:rPr>
          <w:b w:val="0"/>
          <w:bCs w:val="0"/>
          <w:sz w:val="22"/>
          <w:szCs w:val="22"/>
        </w:rPr>
        <w:t xml:space="preserve">водства работ третьих лиц, а так же выполнение мероприятий на электросетевых объектах в целях реализации дополнительных услуг по филиалу ПАО «Россети Ленэнерго» «Новоладожские электрические сети» - общим объемом работ не более 4 081 351 553,76 руб. с НДС. </w:t>
      </w:r>
      <w:r>
        <w:rPr>
          <w:b w:val="0"/>
          <w:bCs w:val="0"/>
          <w:sz w:val="22"/>
          <w:szCs w:val="22"/>
        </w:rPr>
        <w:t xml:space="preserve">(2511</w:t>
      </w:r>
      <w:r>
        <w:rPr>
          <w:b w:val="0"/>
          <w:bCs w:val="0"/>
          <w:sz w:val="22"/>
          <w:szCs w:val="22"/>
        </w:rPr>
        <w:t xml:space="preserve">00</w:t>
      </w:r>
      <w:r>
        <w:rPr>
          <w:b w:val="0"/>
          <w:bCs w:val="0"/>
          <w:sz w:val="22"/>
          <w:szCs w:val="22"/>
        </w:rPr>
        <w:t xml:space="preserve">)</w:t>
      </w:r>
      <w:r>
        <w:rPr>
          <w:sz w:val="22"/>
          <w:szCs w:val="22"/>
        </w:rPr>
        <w:t xml:space="preserve">, п</w:t>
      </w:r>
      <w:r>
        <w:rPr>
          <w:bCs/>
          <w:sz w:val="22"/>
          <w:szCs w:val="22"/>
        </w:rPr>
        <w:t xml:space="preserve">ринять к рассмотрению заявки следующих участников:</w:t>
      </w:r>
      <w:r>
        <w:rPr>
          <w:sz w:val="22"/>
          <w:szCs w:val="22"/>
        </w:rPr>
        <w:t xml:space="preserve">                                                                                               </w:t>
      </w:r>
      <w:r>
        <w:rPr>
          <w:bCs/>
          <w:sz w:val="22"/>
          <w:szCs w:val="22"/>
        </w:rPr>
      </w:r>
      <w:r>
        <w:rPr>
          <w:bCs/>
          <w:sz w:val="22"/>
          <w:szCs w:val="22"/>
        </w:rPr>
      </w:r>
    </w:p>
    <w:tbl>
      <w:tblPr>
        <w:tblW w:w="10632" w:type="dxa"/>
        <w:jc w:val="center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0A0" w:firstRow="1" w:lastRow="0" w:firstColumn="1" w:lastColumn="0" w:noHBand="0" w:noVBand="0"/>
      </w:tblPr>
      <w:tblGrid>
        <w:gridCol w:w="1418"/>
        <w:gridCol w:w="9214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</w:tblPrEx>
        <w:trPr>
          <w:cantSplit/>
          <w:trHeight w:val="23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Style w:val="95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Номер п/п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4" w:type="dxa"/>
            <w:vAlign w:val="center"/>
            <w:textDirection w:val="lrTb"/>
            <w:noWrap w:val="false"/>
          </w:tcPr>
          <w:p>
            <w:pPr>
              <w:pStyle w:val="95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95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Участники предварительного отбора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94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</w:tblPrEx>
        <w:trPr>
          <w:cantSplit/>
          <w:trHeight w:val="26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Style w:val="962"/>
              <w:ind w:left="34" w:right="0"/>
              <w:jc w:val="center"/>
              <w:tabs>
                <w:tab w:val="clear" w:pos="4536" w:leader="none"/>
                <w:tab w:val="left" w:pos="9639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4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</w:rPr>
              <w:t xml:space="preserve">ООО "ЭНЕРГОСТРОЙИНВЕСТ"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</w:tblPrEx>
        <w:trPr>
          <w:cantSplit/>
          <w:trHeight w:val="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Style w:val="962"/>
              <w:ind w:left="34" w:right="0"/>
              <w:jc w:val="center"/>
              <w:tabs>
                <w:tab w:val="clear" w:pos="4536" w:leader="none"/>
                <w:tab w:val="left" w:pos="9639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4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 w:val="0"/>
                <w:bCs w:val="0"/>
                <w:i w:val="0"/>
                <w:strike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</w:rPr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t xml:space="preserve">Коллективный участник в составе: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</w:rPr>
              <w:t xml:space="preserve">ООО ЭЦ "СП" (лидер),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</w:rPr>
              <w:t xml:space="preserve">ООО "ПАРЛАМЕНТ" (участник)</w:t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strike w:val="0"/>
                <w:color w:val="000000"/>
                <w:sz w:val="22"/>
                <w:szCs w:val="22"/>
                <w:highlight w:val="none"/>
                <w:u w:val="none"/>
              </w:rPr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strike w:val="0"/>
                <w:color w:val="000000"/>
                <w:sz w:val="22"/>
                <w:szCs w:val="22"/>
                <w:highlight w:val="none"/>
                <w:u w:val="none"/>
              </w:rPr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</w:tblPrEx>
        <w:trPr>
          <w:cantSplit/>
          <w:trHeight w:val="4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Style w:val="962"/>
              <w:ind w:left="34" w:right="0"/>
              <w:jc w:val="center"/>
              <w:tabs>
                <w:tab w:val="clear" w:pos="4536" w:leader="none"/>
                <w:tab w:val="left" w:pos="9639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4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</w:rPr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t xml:space="preserve">Коллективный участник в составе: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</w:rPr>
              <w:t xml:space="preserve"> АО "ЭНЕРГОПРОЕКТ-ИНЖИНИРИНГ" (лидер),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</w:rPr>
              <w:t xml:space="preserve">ООО "СЭТ" (участник)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</w:tblPrEx>
        <w:trPr>
          <w:cantSplit/>
          <w:trHeight w:val="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Style w:val="962"/>
              <w:ind w:left="34" w:right="0"/>
              <w:jc w:val="center"/>
              <w:tabs>
                <w:tab w:val="clear" w:pos="4536" w:leader="none"/>
                <w:tab w:val="left" w:pos="9639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4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</w:rPr>
              <w:t xml:space="preserve">ООО "СПЕЦСТРОЙ-ИНЖИНИРИНГ"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</w:tblPrEx>
        <w:trPr>
          <w:cantSplit/>
          <w:trHeight w:val="55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Style w:val="962"/>
              <w:ind w:left="34" w:right="0"/>
              <w:jc w:val="center"/>
              <w:tabs>
                <w:tab w:val="clear" w:pos="4536" w:leader="none"/>
                <w:tab w:val="left" w:pos="9639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4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</w:rPr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t xml:space="preserve">Коллективный участник в составе: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</w:rPr>
              <w:t xml:space="preserve">ООО "ПЕРВОЕ ПРОФЕССИОНАЛЬНОЕ СООБЩЕСТВО" (лидер),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</w:rPr>
              <w:t xml:space="preserve">ООО "ПЕТРОСТРОЙ-РИТМ" (участник)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</w:tbl>
    <w:p>
      <w:pPr>
        <w:pStyle w:val="949"/>
        <w:jc w:val="both"/>
        <w:tabs>
          <w:tab w:val="left" w:pos="1134" w:leader="none"/>
        </w:tabs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49"/>
        <w:jc w:val="both"/>
        <w:tabs>
          <w:tab w:val="left" w:pos="1134" w:leader="none"/>
        </w:tabs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49"/>
        <w:ind w:right="-144"/>
        <w:jc w:val="both"/>
        <w:spacing w:line="276" w:lineRule="auto"/>
        <w:widowControl w:val="off"/>
        <w:tabs>
          <w:tab w:val="left" w:pos="0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2. 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В соответствии с п. 5.4.4. части </w:t>
      </w:r>
      <w:r>
        <w:rPr>
          <w:sz w:val="22"/>
          <w:szCs w:val="22"/>
          <w:lang w:val="en-US"/>
        </w:rPr>
        <w:t xml:space="preserve">I</w:t>
      </w:r>
      <w:r>
        <w:rPr>
          <w:sz w:val="22"/>
          <w:szCs w:val="22"/>
        </w:rPr>
        <w:t xml:space="preserve"> «ОБЩИЕ УСЛОВИЯ ПРОВЕДЕНИЯ ЗАКУПКИ» документации о закупке признать победителями и заключить рамочные соглашения со следующими участниками предварительного  отбора в электронной форме на электронной торговой площадке </w:t>
      </w:r>
      <w:r>
        <w:rPr>
          <w:sz w:val="22"/>
          <w:szCs w:val="22"/>
          <w:lang w:val="en-US"/>
        </w:rPr>
        <w:t xml:space="preserve">https</w:t>
      </w:r>
      <w:r>
        <w:rPr>
          <w:sz w:val="22"/>
          <w:szCs w:val="22"/>
        </w:rPr>
        <w:t xml:space="preserve">://</w:t>
      </w:r>
      <w:r>
        <w:rPr>
          <w:sz w:val="22"/>
          <w:szCs w:val="22"/>
          <w:lang w:val="en-US"/>
        </w:rPr>
        <w:t xml:space="preserve">tender</w:t>
      </w:r>
      <w:r>
        <w:rPr>
          <w:sz w:val="22"/>
          <w:szCs w:val="22"/>
        </w:rPr>
        <w:t xml:space="preserve">.</w:t>
      </w:r>
      <w:r>
        <w:rPr>
          <w:sz w:val="22"/>
          <w:szCs w:val="22"/>
          <w:lang w:val="en-US"/>
        </w:rPr>
        <w:t xml:space="preserve">lot</w:t>
      </w:r>
      <w:r>
        <w:rPr>
          <w:sz w:val="22"/>
          <w:szCs w:val="22"/>
        </w:rPr>
        <w:t xml:space="preserve">-</w:t>
      </w:r>
      <w:r>
        <w:rPr>
          <w:sz w:val="22"/>
          <w:szCs w:val="22"/>
          <w:lang w:val="en-US"/>
        </w:rPr>
        <w:t xml:space="preserve">online</w:t>
      </w:r>
      <w:r>
        <w:rPr>
          <w:sz w:val="22"/>
          <w:szCs w:val="22"/>
        </w:rPr>
        <w:t xml:space="preserve">.</w:t>
      </w:r>
      <w:r>
        <w:rPr>
          <w:sz w:val="22"/>
          <w:szCs w:val="22"/>
          <w:lang w:val="en-US"/>
        </w:rPr>
        <w:t xml:space="preserve">ru</w:t>
      </w:r>
      <w:r>
        <w:rPr>
          <w:sz w:val="22"/>
          <w:szCs w:val="22"/>
        </w:rPr>
        <w:t xml:space="preserve"> </w:t>
      </w:r>
      <w:r>
        <w:rPr>
          <w:b w:val="0"/>
          <w:bCs w:val="0"/>
          <w:sz w:val="22"/>
          <w:szCs w:val="22"/>
        </w:rPr>
        <w:t xml:space="preserve">на право заключения рамочного соглашения на выполнение проектно-изыскательских работ, строительно-монтажных работ (с поставкой оборудования) и полного комплекса проектно-изыскательских и строительно-монтажных работ на электросетевых объектах</w:t>
      </w:r>
      <w:r>
        <w:rPr>
          <w:b w:val="0"/>
          <w:bCs w:val="0"/>
          <w:sz w:val="22"/>
          <w:szCs w:val="22"/>
        </w:rPr>
        <w:t xml:space="preserve"> в целях технологического присоединения энергопринимающих устройств заявителей, повышения надежности электросетевого комплекса, осуществление мероприятий для исполнения обязательств по сносу и восстановлению электросетевых объектов, попадающих в зону произ</w:t>
      </w:r>
      <w:r>
        <w:rPr>
          <w:b w:val="0"/>
          <w:bCs w:val="0"/>
          <w:sz w:val="22"/>
          <w:szCs w:val="22"/>
        </w:rPr>
        <w:t xml:space="preserve">водства работ третьих лиц, а так же выполнение мероприятий на электросетевых объектах в целях реализации дополнительных услуг по филиалу ПАО «Россети Ленэнерго» «Новоладожские электрические сети» - общим объемом работ не более 4 081 351 553,76 руб. с НДС. </w:t>
      </w:r>
      <w:r>
        <w:rPr>
          <w:b w:val="0"/>
          <w:bCs w:val="0"/>
          <w:sz w:val="22"/>
          <w:szCs w:val="22"/>
        </w:rPr>
        <w:t xml:space="preserve">(2511</w:t>
      </w:r>
      <w:r>
        <w:rPr>
          <w:b w:val="0"/>
          <w:bCs w:val="0"/>
          <w:sz w:val="22"/>
          <w:szCs w:val="22"/>
        </w:rPr>
        <w:t xml:space="preserve">00</w:t>
      </w:r>
      <w:r>
        <w:rPr>
          <w:b w:val="0"/>
          <w:bCs w:val="0"/>
          <w:sz w:val="22"/>
          <w:szCs w:val="22"/>
        </w:rPr>
        <w:t xml:space="preserve">)</w:t>
      </w:r>
      <w:r>
        <w:rPr>
          <w:sz w:val="22"/>
          <w:szCs w:val="22"/>
        </w:rPr>
        <w:t xml:space="preserve">: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49"/>
        <w:ind w:right="-144"/>
        <w:jc w:val="both"/>
        <w:spacing w:line="276" w:lineRule="auto"/>
        <w:widowControl w:val="off"/>
        <w:tabs>
          <w:tab w:val="left" w:pos="0" w:leader="none"/>
        </w:tabs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tbl>
      <w:tblPr>
        <w:tblW w:w="10632" w:type="dxa"/>
        <w:tblInd w:w="108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0A0" w:firstRow="1" w:lastRow="0" w:firstColumn="1" w:lastColumn="0" w:noHBand="0" w:noVBand="0"/>
      </w:tblPr>
      <w:tblGrid>
        <w:gridCol w:w="1418"/>
        <w:gridCol w:w="9214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</w:tblPrEx>
        <w:trPr>
          <w:cantSplit/>
          <w:trHeight w:val="23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Style w:val="95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Номер п/п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4" w:type="dxa"/>
            <w:vAlign w:val="center"/>
            <w:textDirection w:val="lrTb"/>
            <w:noWrap w:val="false"/>
          </w:tcPr>
          <w:p>
            <w:pPr>
              <w:pStyle w:val="95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95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Участники предварительного отбора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94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</w:tblPrEx>
        <w:trPr>
          <w:cantSplit/>
          <w:trHeight w:val="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Style w:val="962"/>
              <w:ind w:left="34" w:right="0"/>
              <w:jc w:val="center"/>
              <w:tabs>
                <w:tab w:val="clear" w:pos="4536" w:leader="none"/>
                <w:tab w:val="left" w:pos="9639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4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</w:rPr>
              <w:t xml:space="preserve">ООО "ЭНЕРГОСТРОЙИНВЕСТ"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</w:tblPrEx>
        <w:trPr>
          <w:cantSplit/>
          <w:trHeight w:val="39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Style w:val="962"/>
              <w:ind w:left="34" w:right="0"/>
              <w:jc w:val="center"/>
              <w:tabs>
                <w:tab w:val="clear" w:pos="4536" w:leader="none"/>
                <w:tab w:val="left" w:pos="9639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4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 w:val="0"/>
                <w:bCs w:val="0"/>
                <w:i w:val="0"/>
                <w:strike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</w:rPr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t xml:space="preserve">Коллективный участник в составе: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</w:rPr>
              <w:t xml:space="preserve">ООО ЭЦ "СП" (лидер),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</w:rPr>
              <w:t xml:space="preserve">ООО "ПАРЛАМЕНТ" (участник)</w:t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strike w:val="0"/>
                <w:color w:val="000000"/>
                <w:sz w:val="22"/>
                <w:szCs w:val="22"/>
                <w:highlight w:val="none"/>
                <w:u w:val="none"/>
              </w:rPr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strike w:val="0"/>
                <w:color w:val="000000"/>
                <w:sz w:val="22"/>
                <w:szCs w:val="22"/>
                <w:highlight w:val="none"/>
                <w:u w:val="none"/>
              </w:rPr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</w:tblPrEx>
        <w:trPr>
          <w:cantSplit/>
          <w:trHeight w:val="4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Style w:val="962"/>
              <w:ind w:left="34" w:right="0"/>
              <w:jc w:val="center"/>
              <w:tabs>
                <w:tab w:val="clear" w:pos="4536" w:leader="none"/>
                <w:tab w:val="left" w:pos="9639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4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</w:rPr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t xml:space="preserve">Коллективный участник в составе: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</w:rPr>
              <w:t xml:space="preserve"> АО "ЭНЕРГОПРОЕКТ-ИНЖИНИРИНГ" (лидер),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</w:rPr>
              <w:t xml:space="preserve">ООО "СЭТ" (участник)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</w:tblPrEx>
        <w:trPr>
          <w:cantSplit/>
          <w:trHeight w:val="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Style w:val="962"/>
              <w:ind w:left="34" w:right="0"/>
              <w:jc w:val="center"/>
              <w:tabs>
                <w:tab w:val="clear" w:pos="4536" w:leader="none"/>
                <w:tab w:val="left" w:pos="9639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4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</w:rPr>
              <w:t xml:space="preserve">ООО "СПЕЦСТРОЙ-ИНЖИНИРИНГ"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</w:tblPrEx>
        <w:trPr>
          <w:cantSplit/>
          <w:trHeight w:val="4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Style w:val="962"/>
              <w:ind w:left="34" w:right="0"/>
              <w:jc w:val="center"/>
              <w:tabs>
                <w:tab w:val="clear" w:pos="4536" w:leader="none"/>
                <w:tab w:val="left" w:pos="9639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4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</w:rPr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t xml:space="preserve">Коллективный участник в составе: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</w:rPr>
              <w:t xml:space="preserve">ООО "ПЕРВОЕ ПРОФЕССИОНАЛЬНОЕ СООБЩЕСТВО" (лидер),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</w:rPr>
              <w:t xml:space="preserve">ООО "ПЕТРОСТРОЙ-РИТМ" (участник)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</w:tbl>
    <w:p>
      <w:pPr>
        <w:pStyle w:val="949"/>
        <w:ind w:right="-144"/>
        <w:jc w:val="both"/>
        <w:spacing w:line="276" w:lineRule="auto"/>
        <w:widowControl w:val="off"/>
        <w:tabs>
          <w:tab w:val="left" w:pos="0" w:leader="none"/>
        </w:tabs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4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3. Срок выполнения работ (срок действия рамочного соглашения): </w:t>
      </w:r>
      <w:r>
        <w:rPr>
          <w:sz w:val="22"/>
          <w:szCs w:val="22"/>
        </w:rPr>
        <w:t xml:space="preserve">с даты заключения договора по </w:t>
      </w:r>
      <w:r>
        <w:rPr>
          <w:sz w:val="22"/>
          <w:szCs w:val="22"/>
        </w:rPr>
        <w:t xml:space="preserve">30.12.2026</w:t>
      </w:r>
      <w:r>
        <w:rPr>
          <w:sz w:val="22"/>
          <w:szCs w:val="22"/>
        </w:rPr>
        <w:t xml:space="preserve">.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49"/>
        <w:jc w:val="both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49"/>
        <w:jc w:val="both"/>
        <w:tabs>
          <w:tab w:val="num" w:pos="1193" w:leader="none"/>
        </w:tabs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49"/>
        <w:jc w:val="both"/>
        <w:tabs>
          <w:tab w:val="num" w:pos="1193" w:leader="none"/>
        </w:tabs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49"/>
        <w:jc w:val="both"/>
        <w:tabs>
          <w:tab w:val="num" w:pos="1193" w:leader="none"/>
        </w:tabs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49"/>
        <w:jc w:val="both"/>
        <w:tabs>
          <w:tab w:val="num" w:pos="1193" w:leader="none"/>
        </w:tabs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49"/>
        <w:jc w:val="both"/>
        <w:tabs>
          <w:tab w:val="num" w:pos="1193" w:leader="none"/>
        </w:tabs>
        <w:rPr>
          <w:sz w:val="22"/>
          <w:szCs w:val="22"/>
        </w:rPr>
      </w:pPr>
      <w:r>
        <w:rPr>
          <w:sz w:val="22"/>
          <w:szCs w:val="22"/>
        </w:rPr>
        <w:br w:type="page" w:clear="all"/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49"/>
        <w:jc w:val="both"/>
        <w:tabs>
          <w:tab w:val="num" w:pos="1193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Результаты голосования: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49"/>
        <w:jc w:val="both"/>
        <w:tabs>
          <w:tab w:val="num" w:pos="1193" w:leader="none"/>
        </w:tabs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49"/>
        <w:rPr>
          <w:sz w:val="22"/>
          <w:szCs w:val="22"/>
        </w:rPr>
      </w:pPr>
      <w:r>
        <w:rPr>
          <w:sz w:val="22"/>
          <w:szCs w:val="22"/>
        </w:rPr>
        <w:t xml:space="preserve">«За» - ____ членов комиссии.  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49"/>
        <w:rPr>
          <w:sz w:val="22"/>
          <w:szCs w:val="22"/>
        </w:rPr>
      </w:pPr>
      <w:r>
        <w:rPr>
          <w:sz w:val="22"/>
          <w:szCs w:val="22"/>
        </w:rPr>
        <w:t xml:space="preserve">«Против» - ____ членов  комиссии. 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49"/>
        <w:rPr>
          <w:sz w:val="22"/>
          <w:szCs w:val="22"/>
        </w:rPr>
      </w:pPr>
      <w:r>
        <w:rPr>
          <w:sz w:val="22"/>
          <w:szCs w:val="22"/>
        </w:rPr>
        <w:t xml:space="preserve">«Воздержался»  - ____ членов  комиссии. 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49"/>
        <w:rPr>
          <w:sz w:val="22"/>
          <w:szCs w:val="22"/>
        </w:rPr>
      </w:pPr>
      <w:r>
        <w:rPr>
          <w:sz w:val="22"/>
          <w:szCs w:val="22"/>
        </w:rPr>
        <w:t xml:space="preserve">«Отсутствовало» - </w:t>
      </w:r>
      <w:r>
        <w:rPr>
          <w:sz w:val="22"/>
          <w:szCs w:val="22"/>
        </w:rPr>
        <w:t xml:space="preserve"> ____</w:t>
      </w:r>
      <w:r>
        <w:rPr>
          <w:sz w:val="22"/>
          <w:szCs w:val="22"/>
        </w:rPr>
        <w:t xml:space="preserve">членов комиссии.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49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4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Подписи членов Закупочной комиссии: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49"/>
        <w:jc w:val="both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tbl>
      <w:tblPr>
        <w:tblW w:w="10444" w:type="dxa"/>
        <w:jc w:val="center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1702"/>
        <w:gridCol w:w="1418"/>
        <w:gridCol w:w="1559"/>
        <w:gridCol w:w="2126"/>
        <w:gridCol w:w="3639"/>
      </w:tblGrid>
      <w:tr>
        <w:tblPrEx/>
        <w:trPr>
          <w:trHeight w:val="7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pStyle w:val="949"/>
              <w:ind w:left="404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 </w:t>
            </w:r>
            <w:r>
              <w:rPr>
                <w:rFonts w:eastAsia="Calibri"/>
                <w:color w:val="000000"/>
                <w:sz w:val="22"/>
                <w:szCs w:val="22"/>
              </w:rPr>
            </w:r>
            <w:r>
              <w:rPr>
                <w:rFonts w:eastAsia="Calibri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Style w:val="949"/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За/Против/</w:t>
            </w:r>
            <w:r>
              <w:rPr>
                <w:rFonts w:eastAsia="Calibri"/>
                <w:color w:val="000000"/>
                <w:sz w:val="22"/>
                <w:szCs w:val="22"/>
              </w:rPr>
            </w:r>
            <w:r>
              <w:rPr>
                <w:rFonts w:eastAsia="Calibri"/>
                <w:color w:val="000000"/>
                <w:sz w:val="22"/>
                <w:szCs w:val="22"/>
              </w:rPr>
            </w:r>
          </w:p>
          <w:p>
            <w:pPr>
              <w:pStyle w:val="949"/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Возд./</w:t>
            </w:r>
            <w:r>
              <w:rPr>
                <w:rFonts w:eastAsia="Calibri"/>
                <w:color w:val="000000"/>
                <w:sz w:val="22"/>
                <w:szCs w:val="22"/>
              </w:rPr>
            </w:r>
            <w:r>
              <w:rPr>
                <w:rFonts w:eastAsia="Calibri"/>
                <w:color w:val="000000"/>
                <w:sz w:val="22"/>
                <w:szCs w:val="22"/>
              </w:rPr>
            </w:r>
          </w:p>
          <w:p>
            <w:pPr>
              <w:pStyle w:val="949"/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Отсутст.</w:t>
            </w:r>
            <w:r>
              <w:rPr>
                <w:rFonts w:eastAsia="Calibri"/>
                <w:color w:val="000000"/>
                <w:sz w:val="22"/>
                <w:szCs w:val="22"/>
              </w:rPr>
            </w:r>
            <w:r>
              <w:rPr>
                <w:rFonts w:eastAsia="Calibri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pStyle w:val="949"/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Подпись</w:t>
            </w:r>
            <w:r>
              <w:rPr>
                <w:rFonts w:eastAsia="Calibri"/>
                <w:color w:val="000000"/>
                <w:sz w:val="22"/>
                <w:szCs w:val="22"/>
              </w:rPr>
            </w:r>
            <w:r>
              <w:rPr>
                <w:rFonts w:eastAsia="Calibri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pStyle w:val="949"/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ФИО</w:t>
            </w:r>
            <w:r>
              <w:rPr>
                <w:rFonts w:eastAsia="Calibri"/>
                <w:color w:val="000000"/>
                <w:sz w:val="22"/>
                <w:szCs w:val="22"/>
              </w:rPr>
            </w:r>
            <w:r>
              <w:rPr>
                <w:rFonts w:eastAsia="Calibri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639" w:type="dxa"/>
            <w:vAlign w:val="center"/>
            <w:textDirection w:val="lrTb"/>
            <w:noWrap w:val="false"/>
          </w:tcPr>
          <w:p>
            <w:pPr>
              <w:pStyle w:val="949"/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Должность</w:t>
            </w:r>
            <w:r>
              <w:rPr>
                <w:rFonts w:eastAsia="Calibri"/>
                <w:color w:val="000000"/>
                <w:sz w:val="22"/>
                <w:szCs w:val="22"/>
              </w:rPr>
            </w:r>
            <w:r>
              <w:rPr>
                <w:rFonts w:eastAsia="Calibri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970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pStyle w:val="949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Председатель комиссии</w:t>
            </w:r>
            <w:r>
              <w:rPr>
                <w:rFonts w:eastAsia="Calibri"/>
                <w:color w:val="000000"/>
                <w:sz w:val="22"/>
                <w:szCs w:val="22"/>
              </w:rPr>
            </w:r>
            <w:r>
              <w:rPr>
                <w:rFonts w:eastAsia="Calibri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Style w:val="949"/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 </w:t>
            </w:r>
            <w:r>
              <w:rPr>
                <w:rFonts w:eastAsia="Calibri"/>
                <w:color w:val="000000"/>
                <w:sz w:val="22"/>
                <w:szCs w:val="22"/>
              </w:rPr>
            </w:r>
            <w:r>
              <w:rPr>
                <w:rFonts w:eastAsia="Calibri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pStyle w:val="949"/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 </w:t>
            </w:r>
            <w:r>
              <w:rPr>
                <w:rFonts w:eastAsia="Calibri"/>
                <w:color w:val="000000"/>
                <w:sz w:val="22"/>
                <w:szCs w:val="22"/>
              </w:rPr>
            </w:r>
            <w:r>
              <w:rPr>
                <w:rFonts w:eastAsia="Calibri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pStyle w:val="949"/>
              <w:jc w:val="center"/>
              <w:spacing w:after="200" w:line="276" w:lineRule="auto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Бечик С.Е.</w:t>
            </w: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639" w:type="dxa"/>
            <w:vAlign w:val="center"/>
            <w:textDirection w:val="lrTb"/>
            <w:noWrap w:val="false"/>
          </w:tcPr>
          <w:p>
            <w:pPr>
              <w:pStyle w:val="949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Исполняющий обязанности начальника департамента логистики и МТО 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949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ПАО «Россети Ленэнерго»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942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pStyle w:val="949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Заместитель председателя комиссии</w:t>
            </w:r>
            <w:r>
              <w:rPr>
                <w:rFonts w:eastAsia="Calibri"/>
                <w:color w:val="000000"/>
                <w:sz w:val="22"/>
                <w:szCs w:val="22"/>
              </w:rPr>
            </w:r>
            <w:r>
              <w:rPr>
                <w:rFonts w:eastAsia="Calibri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right w:val="single" w:color="000000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Style w:val="949"/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</w:r>
            <w:r>
              <w:rPr>
                <w:rFonts w:eastAsia="Calibri"/>
                <w:color w:val="000000"/>
                <w:sz w:val="22"/>
                <w:szCs w:val="22"/>
              </w:rPr>
            </w:r>
            <w:r>
              <w:rPr>
                <w:rFonts w:eastAsia="Calibri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right w:val="single" w:color="000000" w:sz="4" w:space="0"/>
            </w:tcBorders>
            <w:tcW w:w="1559" w:type="dxa"/>
            <w:vAlign w:val="bottom"/>
            <w:textDirection w:val="lrTb"/>
            <w:noWrap/>
          </w:tcPr>
          <w:p>
            <w:pPr>
              <w:pStyle w:val="949"/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</w:r>
            <w:r>
              <w:rPr>
                <w:rFonts w:eastAsia="Calibri"/>
                <w:color w:val="000000"/>
                <w:sz w:val="22"/>
                <w:szCs w:val="22"/>
              </w:rPr>
            </w:r>
            <w:r>
              <w:rPr>
                <w:rFonts w:eastAsia="Calibri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pStyle w:val="949"/>
              <w:jc w:val="center"/>
              <w:spacing w:after="200" w:line="276" w:lineRule="auto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Захаров А.В.</w:t>
            </w: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right w:val="single" w:color="000000" w:sz="4" w:space="0"/>
            </w:tcBorders>
            <w:tcW w:w="3639" w:type="dxa"/>
            <w:vAlign w:val="center"/>
            <w:textDirection w:val="lrTb"/>
            <w:noWrap w:val="false"/>
          </w:tcPr>
          <w:p>
            <w:pPr>
              <w:pStyle w:val="949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Директор по безопасности- начальник департамента безопасности ПАО «Россети Ленэнерго»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122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1702" w:type="dxa"/>
            <w:vAlign w:val="center"/>
            <w:vMerge w:val="restart"/>
            <w:textDirection w:val="lrTb"/>
            <w:noWrap w:val="false"/>
          </w:tcPr>
          <w:p>
            <w:pPr>
              <w:pStyle w:val="949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Члены комиссии</w:t>
            </w:r>
            <w:r>
              <w:rPr>
                <w:rFonts w:eastAsia="Calibri"/>
                <w:color w:val="000000"/>
                <w:sz w:val="22"/>
                <w:szCs w:val="22"/>
              </w:rPr>
            </w:r>
            <w:r>
              <w:rPr>
                <w:rFonts w:eastAsia="Calibri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Style w:val="949"/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</w:r>
            <w:r>
              <w:rPr>
                <w:rFonts w:eastAsia="Calibri"/>
                <w:color w:val="000000"/>
                <w:sz w:val="22"/>
                <w:szCs w:val="22"/>
              </w:rPr>
            </w:r>
            <w:r>
              <w:rPr>
                <w:rFonts w:eastAsia="Calibri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textDirection w:val="lrTb"/>
            <w:noWrap/>
          </w:tcPr>
          <w:p>
            <w:pPr>
              <w:pStyle w:val="949"/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</w:r>
            <w:r>
              <w:rPr>
                <w:rFonts w:eastAsia="Calibri"/>
                <w:color w:val="000000"/>
                <w:sz w:val="22"/>
                <w:szCs w:val="22"/>
              </w:rPr>
            </w:r>
            <w:r>
              <w:rPr>
                <w:rFonts w:eastAsia="Calibri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pStyle w:val="949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Гаас О.А.</w:t>
            </w: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639" w:type="dxa"/>
            <w:vAlign w:val="center"/>
            <w:textDirection w:val="lrTb"/>
            <w:noWrap w:val="false"/>
          </w:tcPr>
          <w:p>
            <w:pPr>
              <w:pStyle w:val="949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Исполняющий обязанности директора по финансам – начальника департамента финансов </w:t>
              <w:br w:type="textWrapping" w:clear="all"/>
              <w:t xml:space="preserve">ПАО «Россети Ленэнерго»</w:t>
            </w: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</w:p>
        </w:tc>
      </w:tr>
      <w:tr>
        <w:tblPrEx/>
        <w:trPr>
          <w:trHeight w:val="982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1702" w:type="dxa"/>
            <w:vAlign w:val="center"/>
            <w:vMerge w:val="continue"/>
            <w:textDirection w:val="lrTb"/>
            <w:noWrap w:val="false"/>
          </w:tcPr>
          <w:p>
            <w:pPr>
              <w:pStyle w:val="949"/>
              <w:ind w:left="181"/>
              <w:jc w:val="both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</w:r>
            <w:r>
              <w:rPr>
                <w:rFonts w:eastAsia="Calibri"/>
                <w:color w:val="000000"/>
                <w:lang w:eastAsia="en-US"/>
              </w:rPr>
            </w:r>
            <w:r>
              <w:rPr>
                <w:rFonts w:eastAsia="Calibri"/>
                <w:color w:val="000000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Style w:val="949"/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</w:r>
            <w:r>
              <w:rPr>
                <w:rFonts w:eastAsia="Calibri"/>
                <w:color w:val="000000"/>
                <w:sz w:val="22"/>
                <w:szCs w:val="22"/>
              </w:rPr>
            </w:r>
            <w:r>
              <w:rPr>
                <w:rFonts w:eastAsia="Calibri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textDirection w:val="lrTb"/>
            <w:noWrap/>
          </w:tcPr>
          <w:p>
            <w:pPr>
              <w:pStyle w:val="949"/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</w:r>
            <w:r>
              <w:rPr>
                <w:rFonts w:eastAsia="Calibri"/>
                <w:color w:val="000000"/>
                <w:sz w:val="22"/>
                <w:szCs w:val="22"/>
              </w:rPr>
            </w:r>
            <w:r>
              <w:rPr>
                <w:rFonts w:eastAsia="Calibri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pStyle w:val="949"/>
              <w:ind w:left="40"/>
              <w:jc w:val="center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Чумак Ю.В.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639" w:type="dxa"/>
            <w:vAlign w:val="center"/>
            <w:textDirection w:val="lrTb"/>
            <w:noWrap w:val="false"/>
          </w:tcPr>
          <w:p>
            <w:pPr>
              <w:pStyle w:val="949"/>
              <w:ind w:left="40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Начальник отдела антикоррупционных комплаенс-процедур ПАО «Россети Ленэнерго»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927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1702" w:type="dxa"/>
            <w:vAlign w:val="center"/>
            <w:vMerge w:val="continue"/>
            <w:textDirection w:val="lrTb"/>
            <w:noWrap w:val="false"/>
          </w:tcPr>
          <w:p>
            <w:pPr>
              <w:pStyle w:val="949"/>
              <w:ind w:left="181"/>
              <w:jc w:val="both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</w:r>
            <w:r>
              <w:rPr>
                <w:rFonts w:eastAsia="Calibri"/>
                <w:color w:val="000000"/>
                <w:lang w:eastAsia="en-US"/>
              </w:rPr>
            </w:r>
            <w:r>
              <w:rPr>
                <w:rFonts w:eastAsia="Calibri"/>
                <w:color w:val="000000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Style w:val="949"/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</w:r>
            <w:r>
              <w:rPr>
                <w:rFonts w:eastAsia="Calibri"/>
                <w:color w:val="000000"/>
                <w:sz w:val="22"/>
                <w:szCs w:val="22"/>
              </w:rPr>
            </w:r>
            <w:r>
              <w:rPr>
                <w:rFonts w:eastAsia="Calibri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textDirection w:val="lrTb"/>
            <w:noWrap/>
          </w:tcPr>
          <w:p>
            <w:pPr>
              <w:pStyle w:val="949"/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</w:r>
            <w:r>
              <w:rPr>
                <w:rFonts w:eastAsia="Calibri"/>
                <w:color w:val="000000"/>
                <w:sz w:val="22"/>
                <w:szCs w:val="22"/>
              </w:rPr>
            </w:r>
            <w:r>
              <w:rPr>
                <w:rFonts w:eastAsia="Calibri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pStyle w:val="949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Подольский В.А.</w:t>
            </w: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639" w:type="dxa"/>
            <w:vAlign w:val="center"/>
            <w:textDirection w:val="lrTb"/>
            <w:noWrap w:val="false"/>
          </w:tcPr>
          <w:p>
            <w:pPr>
              <w:pStyle w:val="949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Заместитель начальника отдела правовой экспертизы </w:t>
              <w:br w:type="textWrapping" w:clear="all"/>
              <w:t xml:space="preserve">ПАО «Россети Ленэнерго»</w:t>
            </w: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</w:p>
        </w:tc>
      </w:tr>
      <w:tr>
        <w:tblPrEx/>
        <w:trPr>
          <w:trHeight w:val="1483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pStyle w:val="949"/>
              <w:ind w:left="181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</w:r>
            <w:r>
              <w:rPr>
                <w:rFonts w:eastAsia="Calibri"/>
                <w:color w:val="000000"/>
                <w:sz w:val="22"/>
                <w:szCs w:val="22"/>
              </w:rPr>
            </w:r>
            <w:r>
              <w:rPr>
                <w:rFonts w:eastAsia="Calibri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Style w:val="949"/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</w:r>
            <w:r>
              <w:rPr>
                <w:rFonts w:eastAsia="Calibri"/>
                <w:color w:val="000000"/>
                <w:sz w:val="22"/>
                <w:szCs w:val="22"/>
              </w:rPr>
            </w:r>
            <w:r>
              <w:rPr>
                <w:rFonts w:eastAsia="Calibri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textDirection w:val="lrTb"/>
            <w:noWrap/>
          </w:tcPr>
          <w:p>
            <w:pPr>
              <w:pStyle w:val="949"/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</w:r>
            <w:r>
              <w:rPr>
                <w:rFonts w:eastAsia="Calibri"/>
                <w:color w:val="000000"/>
                <w:sz w:val="22"/>
                <w:szCs w:val="22"/>
              </w:rPr>
            </w:r>
            <w:r>
              <w:rPr>
                <w:rFonts w:eastAsia="Calibri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pStyle w:val="949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Батанов П.В.</w:t>
            </w: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639" w:type="dxa"/>
            <w:vAlign w:val="center"/>
            <w:textDirection w:val="lrTb"/>
            <w:noWrap w:val="false"/>
          </w:tcPr>
          <w:p>
            <w:pPr>
              <w:pStyle w:val="949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Заместитель главного инженера </w:t>
              <w:br w:type="textWrapping" w:clear="all"/>
              <w:t xml:space="preserve">по высоковольтным сетям – начальник департамента высоковольтных сетей ПАО «Россети Ленэнерго»</w:t>
            </w: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</w:p>
        </w:tc>
      </w:tr>
      <w:tr>
        <w:tblPrEx/>
        <w:trPr>
          <w:trHeight w:val="927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pStyle w:val="949"/>
              <w:ind w:left="181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</w:r>
            <w:r>
              <w:rPr>
                <w:rFonts w:eastAsia="Calibri"/>
                <w:color w:val="000000"/>
                <w:sz w:val="22"/>
                <w:szCs w:val="22"/>
              </w:rPr>
            </w:r>
            <w:r>
              <w:rPr>
                <w:rFonts w:eastAsia="Calibri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Style w:val="949"/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</w:r>
            <w:r>
              <w:rPr>
                <w:rFonts w:eastAsia="Calibri"/>
                <w:color w:val="000000"/>
                <w:sz w:val="22"/>
                <w:szCs w:val="22"/>
              </w:rPr>
            </w:r>
            <w:r>
              <w:rPr>
                <w:rFonts w:eastAsia="Calibri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textDirection w:val="lrTb"/>
            <w:noWrap/>
          </w:tcPr>
          <w:p>
            <w:pPr>
              <w:pStyle w:val="949"/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</w:r>
            <w:r>
              <w:rPr>
                <w:rFonts w:eastAsia="Calibri"/>
                <w:color w:val="000000"/>
                <w:sz w:val="22"/>
                <w:szCs w:val="22"/>
              </w:rPr>
            </w:r>
            <w:r>
              <w:rPr>
                <w:rFonts w:eastAsia="Calibri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pStyle w:val="949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Сафонов А.М.</w:t>
            </w: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639" w:type="dxa"/>
            <w:vAlign w:val="center"/>
            <w:textDirection w:val="lrTb"/>
            <w:noWrap w:val="false"/>
          </w:tcPr>
          <w:p>
            <w:pPr>
              <w:pStyle w:val="949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Начальник тендерно-договорного отдела управления строительства и реконструкции объектов распределительной сети департамента капитального строительства ПАО «Россети Ленэнерго»</w:t>
            </w: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</w:p>
        </w:tc>
      </w:tr>
      <w:tr>
        <w:tblPrEx/>
        <w:trPr>
          <w:trHeight w:val="749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pStyle w:val="949"/>
              <w:ind w:left="181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</w:r>
            <w:r>
              <w:rPr>
                <w:rFonts w:eastAsia="Calibri"/>
                <w:color w:val="000000"/>
                <w:sz w:val="22"/>
                <w:szCs w:val="22"/>
              </w:rPr>
            </w:r>
            <w:r>
              <w:rPr>
                <w:rFonts w:eastAsia="Calibri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Style w:val="949"/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</w:r>
            <w:r>
              <w:rPr>
                <w:rFonts w:eastAsia="Calibri"/>
                <w:color w:val="000000"/>
                <w:sz w:val="22"/>
                <w:szCs w:val="22"/>
              </w:rPr>
            </w:r>
            <w:r>
              <w:rPr>
                <w:rFonts w:eastAsia="Calibri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textDirection w:val="lrTb"/>
            <w:noWrap/>
          </w:tcPr>
          <w:p>
            <w:pPr>
              <w:pStyle w:val="949"/>
              <w:rPr>
                <w:rFonts w:eastAsia="Calibri"/>
                <w:color w:val="000000"/>
                <w:sz w:val="22"/>
                <w:szCs w:val="22"/>
              </w:rPr>
            </w:pPr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</w:r>
            <w:r>
              <w:rPr>
                <w:rFonts w:eastAsia="Calibri"/>
                <w:color w:val="000000"/>
                <w:sz w:val="22"/>
                <w:szCs w:val="22"/>
              </w:rPr>
            </w:r>
            <w:r>
              <w:rPr>
                <w:rFonts w:eastAsia="Calibri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pStyle w:val="94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Поздняков Р.О.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639" w:type="dxa"/>
            <w:vAlign w:val="center"/>
            <w:textDirection w:val="lrTb"/>
            <w:noWrap w:val="false"/>
          </w:tcPr>
          <w:p>
            <w:pPr>
              <w:pStyle w:val="94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Директор филиала ПАО «Россети Ленэнерго» «НлЭС»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98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pStyle w:val="949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Секретарь комиссии (без права голоса)</w:t>
            </w:r>
            <w:r>
              <w:rPr>
                <w:rFonts w:eastAsia="Calibri"/>
                <w:color w:val="000000"/>
                <w:sz w:val="22"/>
                <w:szCs w:val="22"/>
              </w:rPr>
            </w:r>
            <w:r>
              <w:rPr>
                <w:rFonts w:eastAsia="Calibri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Style w:val="949"/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 </w:t>
            </w:r>
            <w:r>
              <w:rPr>
                <w:rFonts w:eastAsia="Calibri"/>
                <w:color w:val="000000"/>
                <w:sz w:val="22"/>
                <w:szCs w:val="22"/>
              </w:rPr>
            </w:r>
            <w:r>
              <w:rPr>
                <w:rFonts w:eastAsia="Calibri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pStyle w:val="949"/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 </w:t>
            </w:r>
            <w:r>
              <w:rPr>
                <w:rFonts w:eastAsia="Calibri"/>
                <w:color w:val="000000"/>
                <w:sz w:val="22"/>
                <w:szCs w:val="22"/>
              </w:rPr>
            </w:r>
            <w:r>
              <w:rPr>
                <w:rFonts w:eastAsia="Calibri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pStyle w:val="949"/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Малофеев Д.О.</w:t>
            </w:r>
            <w:r>
              <w:rPr>
                <w:rFonts w:eastAsia="Calibri"/>
                <w:color w:val="000000"/>
                <w:sz w:val="22"/>
                <w:szCs w:val="22"/>
              </w:rPr>
            </w:r>
            <w:r>
              <w:rPr>
                <w:rFonts w:eastAsia="Calibri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639" w:type="dxa"/>
            <w:vAlign w:val="center"/>
            <w:textDirection w:val="lrTb"/>
            <w:noWrap w:val="false"/>
          </w:tcPr>
          <w:p>
            <w:pPr>
              <w:pStyle w:val="949"/>
              <w:rPr>
                <w:rFonts w:eastAsia="Calibri"/>
                <w:color w:val="000000"/>
                <w:sz w:val="22"/>
                <w:szCs w:val="22"/>
              </w:rPr>
            </w:pPr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Главный  специалист отдела подготовки и проведения конкурсов ПАО «Россети Ленэнерго»</w:t>
            </w:r>
            <w:r>
              <w:rPr>
                <w:rFonts w:eastAsia="Calibri"/>
                <w:color w:val="000000"/>
                <w:sz w:val="22"/>
                <w:szCs w:val="22"/>
              </w:rPr>
            </w:r>
            <w:r>
              <w:rPr>
                <w:rFonts w:eastAsia="Calibri"/>
                <w:color w:val="000000"/>
                <w:sz w:val="22"/>
                <w:szCs w:val="22"/>
              </w:rPr>
            </w:r>
          </w:p>
        </w:tc>
      </w:tr>
    </w:tbl>
    <w:p>
      <w:pPr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sectPr>
      <w:footnotePr/>
      <w:endnotePr/>
      <w:type w:val="nextPage"/>
      <w:pgSz w:w="11906" w:h="16838" w:orient="portrait"/>
      <w:pgMar w:top="425" w:right="851" w:bottom="709" w:left="567" w:header="284" w:footer="40" w:gutter="0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Wingdings">
    <w:panose1 w:val="05010000000000000000"/>
  </w:font>
  <w:font w:name="Courier New">
    <w:panose1 w:val="02070309020205020404"/>
  </w:font>
  <w:font w:name="Symbol">
    <w:panose1 w:val="05010000000000000000"/>
  </w:font>
  <w:font w:name="Lucida Sans Unicode">
    <w:panose1 w:val="020B0603030804020204"/>
  </w:font>
  <w:font w:name="Times New Roman CYR">
    <w:panose1 w:val="02020603050405020304"/>
  </w:font>
  <w:font w:name="Tahoma">
    <w:panose1 w:val="020B0604030504040204"/>
  </w:font>
  <w:font w:name="Times New Roman">
    <w:panose1 w:val="02020603050405020304"/>
  </w:font>
  <w:font w:name="Cambria">
    <w:panose1 w:val="02040503050406030204"/>
  </w:font>
  <w:font w:name="Arial Unicode MS">
    <w:panose1 w:val="020B0604020202020204"/>
  </w:font>
  <w:font w:name="Arial">
    <w:panose1 w:val="020B060402020202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51"/>
      <w:jc w:val="center"/>
      <w:widowControl w:val="off"/>
      <w:tabs>
        <w:tab w:val="num" w:pos="1418" w:leader="none"/>
      </w:tabs>
      <w:rPr>
        <w:bCs/>
        <w:sz w:val="18"/>
        <w:szCs w:val="18"/>
      </w:rPr>
    </w:pPr>
    <w:r>
      <w:rPr>
        <w:bCs/>
        <w:sz w:val="18"/>
        <w:szCs w:val="18"/>
      </w:rPr>
      <w:t xml:space="preserve">Протокол </w:t>
    </w:r>
    <w:r>
      <w:rPr>
        <w:bCs/>
        <w:sz w:val="18"/>
        <w:szCs w:val="18"/>
      </w:rPr>
      <w:t xml:space="preserve">№ </w:t>
    </w:r>
    <w:r>
      <w:rPr>
        <w:bCs/>
        <w:sz w:val="18"/>
        <w:szCs w:val="18"/>
      </w:rPr>
      <w:t xml:space="preserve">251</w:t>
    </w:r>
    <w:r>
      <w:rPr>
        <w:bCs/>
        <w:sz w:val="18"/>
        <w:szCs w:val="18"/>
      </w:rPr>
      <w:t xml:space="preserve">100</w:t>
    </w:r>
    <w:r>
      <w:rPr>
        <w:bCs/>
        <w:sz w:val="18"/>
        <w:szCs w:val="18"/>
      </w:rPr>
      <w:t xml:space="preserve">-3</w:t>
    </w:r>
    <w:r>
      <w:rPr>
        <w:bCs/>
        <w:sz w:val="18"/>
        <w:szCs w:val="18"/>
      </w:rPr>
    </w:r>
    <w:r>
      <w:rPr>
        <w:bCs/>
        <w:sz w:val="18"/>
        <w:szCs w:val="18"/>
      </w:rPr>
    </w:r>
  </w:p>
  <w:p>
    <w:pPr>
      <w:pStyle w:val="951"/>
      <w:jc w:val="center"/>
      <w:widowControl w:val="off"/>
      <w:tabs>
        <w:tab w:val="num" w:pos="1418" w:leader="none"/>
      </w:tabs>
      <w:rPr>
        <w:bCs/>
        <w:sz w:val="18"/>
        <w:szCs w:val="18"/>
      </w:rPr>
    </w:pPr>
    <w:r>
      <w:rPr>
        <w:bCs/>
        <w:sz w:val="18"/>
        <w:szCs w:val="18"/>
      </w:rPr>
      <w:t xml:space="preserve">страница </w:t>
    </w:r>
    <w:r>
      <w:rPr>
        <w:bCs/>
        <w:sz w:val="18"/>
        <w:szCs w:val="18"/>
      </w:rPr>
      <w:fldChar w:fldCharType="begin"/>
    </w:r>
    <w:r>
      <w:rPr>
        <w:bCs/>
        <w:sz w:val="18"/>
        <w:szCs w:val="18"/>
      </w:rPr>
      <w:instrText xml:space="preserve">PAGE</w:instrText>
    </w:r>
    <w:r>
      <w:rPr>
        <w:bCs/>
        <w:sz w:val="18"/>
        <w:szCs w:val="18"/>
      </w:rPr>
      <w:fldChar w:fldCharType="separate"/>
    </w:r>
    <w:r>
      <w:rPr>
        <w:bCs/>
        <w:sz w:val="18"/>
        <w:szCs w:val="18"/>
      </w:rPr>
      <w:t xml:space="preserve">10</w:t>
    </w:r>
    <w:r>
      <w:rPr>
        <w:bCs/>
        <w:sz w:val="18"/>
        <w:szCs w:val="18"/>
      </w:rPr>
      <w:fldChar w:fldCharType="end"/>
    </w:r>
    <w:r>
      <w:rPr>
        <w:bCs/>
        <w:sz w:val="18"/>
        <w:szCs w:val="18"/>
      </w:rPr>
      <w:t xml:space="preserve"> из </w:t>
    </w:r>
    <w:r>
      <w:rPr>
        <w:bCs/>
        <w:sz w:val="18"/>
        <w:szCs w:val="18"/>
      </w:rPr>
      <w:fldChar w:fldCharType="begin"/>
    </w:r>
    <w:r>
      <w:rPr>
        <w:bCs/>
        <w:sz w:val="18"/>
        <w:szCs w:val="18"/>
      </w:rPr>
      <w:instrText xml:space="preserve">NUMPAGES</w:instrText>
    </w:r>
    <w:r>
      <w:rPr>
        <w:bCs/>
        <w:sz w:val="18"/>
        <w:szCs w:val="18"/>
      </w:rPr>
      <w:fldChar w:fldCharType="separate"/>
    </w:r>
    <w:r>
      <w:rPr>
        <w:bCs/>
        <w:sz w:val="18"/>
        <w:szCs w:val="18"/>
      </w:rPr>
      <w:t xml:space="preserve">10</w:t>
    </w:r>
    <w:r>
      <w:rPr>
        <w:bCs/>
        <w:sz w:val="18"/>
        <w:szCs w:val="18"/>
      </w:rPr>
      <w:fldChar w:fldCharType="end"/>
    </w:r>
    <w:r>
      <w:rPr>
        <w:bCs/>
        <w:sz w:val="18"/>
        <w:szCs w:val="18"/>
      </w:rPr>
    </w:r>
    <w:r>
      <w:rPr>
        <w:bCs/>
        <w:sz w:val="18"/>
        <w:szCs w:val="18"/>
      </w:rPr>
    </w:r>
  </w:p>
  <w:p>
    <w:pPr>
      <w:pStyle w:val="949"/>
      <w:jc w:val="center"/>
      <w:rPr>
        <w:sz w:val="18"/>
        <w:szCs w:val="18"/>
      </w:rPr>
    </w:pPr>
    <w:r>
      <w:rPr>
        <w:sz w:val="18"/>
        <w:szCs w:val="18"/>
      </w:rPr>
    </w:r>
    <w:r>
      <w:rPr>
        <w:sz w:val="18"/>
        <w:szCs w:val="18"/>
      </w:rPr>
    </w:r>
    <w:r>
      <w:rPr>
        <w:sz w:val="18"/>
        <w:szCs w:val="18"/>
      </w:rPr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-267" w:firstLine="567"/>
        <w:tabs>
          <w:tab w:val="num" w:pos="867" w:leader="none"/>
        </w:tabs>
      </w:pPr>
      <w:rPr>
        <w:b w:val="0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2126" w:hanging="708"/>
        <w:tabs>
          <w:tab w:val="num" w:pos="708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2835" w:hanging="708"/>
        <w:tabs>
          <w:tab w:val="num" w:pos="2835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276" w:hanging="708"/>
        <w:tabs>
          <w:tab w:val="num" w:pos="-1556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4248" w:hanging="708"/>
        <w:tabs>
          <w:tab w:val="num" w:pos="708" w:leader="none"/>
        </w:tabs>
      </w:pPr>
    </w:lvl>
    <w:lvl w:ilvl="5">
      <w:start w:val="0"/>
      <w:numFmt w:val="decimal"/>
      <w:isLgl w:val="false"/>
      <w:suff w:val="tab"/>
      <w:lvlText w:val=""/>
      <w:lvlJc w:val="left"/>
      <w:pPr>
        <w:tabs>
          <w:tab w:val="num" w:pos="36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5664" w:hanging="708"/>
        <w:tabs>
          <w:tab w:val="num" w:pos="708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372" w:hanging="708"/>
        <w:tabs>
          <w:tab w:val="num" w:pos="708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080" w:hanging="708"/>
        <w:tabs>
          <w:tab w:val="num" w:pos="708" w:leader="none"/>
        </w:tabs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004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724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444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164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884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04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324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044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764" w:hanging="360"/>
      </w:pPr>
      <w:rPr>
        <w:rFonts w:ascii="Wingdings" w:hAnsi="Wingdings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2"/>
      <w:numFmt w:val="decimal"/>
      <w:isLgl w:val="false"/>
      <w:suff w:val="tab"/>
      <w:lvlText w:val="%1.%2."/>
      <w:lvlJc w:val="left"/>
      <w:pPr>
        <w:ind w:left="720" w:hanging="36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08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44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180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360" w:hanging="360"/>
      </w:pPr>
    </w:lvl>
    <w:lvl w:ilvl="1">
      <w:start w:val="1"/>
      <w:numFmt w:val="lowerLetter"/>
      <w:isLgl w:val="false"/>
      <w:suff w:val="tab"/>
      <w:lvlText w:val="%2)"/>
      <w:lvlJc w:val="left"/>
      <w:pPr>
        <w:ind w:left="720" w:hanging="360"/>
      </w:pPr>
      <w:rPr>
        <w:b w:val="0"/>
      </w:rPr>
    </w:lvl>
    <w:lvl w:ilvl="2">
      <w:start w:val="1"/>
      <w:numFmt w:val="lowerRoman"/>
      <w:isLgl w:val="false"/>
      <w:suff w:val="tab"/>
      <w:lvlText w:val="%3)"/>
      <w:lvlJc w:val="left"/>
      <w:pPr>
        <w:ind w:left="1080" w:hanging="360"/>
      </w:pPr>
    </w:lvl>
    <w:lvl w:ilvl="3">
      <w:start w:val="1"/>
      <w:numFmt w:val="decimal"/>
      <w:isLgl w:val="false"/>
      <w:suff w:val="tab"/>
      <w:lvlText w:val="(%4)"/>
      <w:lvlJc w:val="left"/>
      <w:pPr>
        <w:ind w:left="1440" w:hanging="360"/>
      </w:pPr>
    </w:lvl>
    <w:lvl w:ilvl="4">
      <w:start w:val="1"/>
      <w:numFmt w:val="lowerLetter"/>
      <w:isLgl w:val="false"/>
      <w:suff w:val="tab"/>
      <w:lvlText w:val="(%5)"/>
      <w:lvlJc w:val="left"/>
      <w:pPr>
        <w:ind w:left="1800" w:hanging="360"/>
      </w:p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</w:p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44" w:hanging="360"/>
      </w:pPr>
    </w:lvl>
    <w:lvl w:ilvl="1">
      <w:start w:val="2"/>
      <w:numFmt w:val="decimal"/>
      <w:isLgl w:val="false"/>
      <w:suff w:val="tab"/>
      <w:lvlText w:val="%1.%2."/>
      <w:lvlJc w:val="left"/>
      <w:pPr>
        <w:ind w:left="644" w:hanging="36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004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004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364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364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724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724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084" w:hanging="1800"/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center"/>
      <w:pPr>
        <w:ind w:left="510" w:hanging="397"/>
        <w:tabs>
          <w:tab w:val="num" w:pos="510" w:leader="none"/>
        </w:tabs>
      </w:pPr>
    </w:lvl>
    <w:lvl w:ilvl="1">
      <w:start w:val="0"/>
      <w:numFmt w:val="decimal"/>
      <w:isLgl w:val="false"/>
      <w:suff w:val="tab"/>
      <w:lvlText w:val=""/>
      <w:lvlJc w:val="left"/>
      <w:pPr>
        <w:tabs>
          <w:tab w:val="num" w:pos="360" w:leader="none"/>
        </w:tabs>
      </w:pPr>
    </w:lvl>
    <w:lvl w:ilvl="2">
      <w:start w:val="0"/>
      <w:numFmt w:val="decimal"/>
      <w:isLgl w:val="false"/>
      <w:suff w:val="tab"/>
      <w:lvlText w:val=""/>
      <w:lvlJc w:val="left"/>
      <w:pPr>
        <w:tabs>
          <w:tab w:val="num" w:pos="360" w:leader="none"/>
        </w:tabs>
      </w:pPr>
    </w:lvl>
    <w:lvl w:ilvl="3">
      <w:start w:val="0"/>
      <w:numFmt w:val="decimal"/>
      <w:isLgl w:val="false"/>
      <w:suff w:val="tab"/>
      <w:lvlText w:val=""/>
      <w:lvlJc w:val="left"/>
      <w:pPr>
        <w:tabs>
          <w:tab w:val="num" w:pos="360" w:leader="none"/>
        </w:tabs>
      </w:pPr>
    </w:lvl>
    <w:lvl w:ilvl="4">
      <w:start w:val="0"/>
      <w:numFmt w:val="decimal"/>
      <w:isLgl w:val="false"/>
      <w:suff w:val="tab"/>
      <w:lvlText w:val=""/>
      <w:lvlJc w:val="left"/>
      <w:pPr>
        <w:tabs>
          <w:tab w:val="num" w:pos="360" w:leader="none"/>
        </w:tabs>
      </w:pPr>
    </w:lvl>
    <w:lvl w:ilvl="5">
      <w:start w:val="0"/>
      <w:numFmt w:val="decimal"/>
      <w:isLgl w:val="false"/>
      <w:suff w:val="tab"/>
      <w:lvlText w:val=""/>
      <w:lvlJc w:val="left"/>
      <w:pPr>
        <w:tabs>
          <w:tab w:val="num" w:pos="360" w:leader="none"/>
        </w:tabs>
      </w:pPr>
    </w:lvl>
    <w:lvl w:ilvl="6">
      <w:start w:val="0"/>
      <w:numFmt w:val="decimal"/>
      <w:isLgl w:val="false"/>
      <w:suff w:val="tab"/>
      <w:lvlText w:val=""/>
      <w:lvlJc w:val="left"/>
      <w:pPr>
        <w:tabs>
          <w:tab w:val="num" w:pos="360" w:leader="none"/>
        </w:tabs>
      </w:pPr>
    </w:lvl>
    <w:lvl w:ilvl="7">
      <w:start w:val="0"/>
      <w:numFmt w:val="decimal"/>
      <w:isLgl w:val="false"/>
      <w:suff w:val="tab"/>
      <w:lvlText w:val=""/>
      <w:lvlJc w:val="left"/>
      <w:pPr>
        <w:tabs>
          <w:tab w:val="num" w:pos="360" w:leader="none"/>
        </w:tabs>
      </w:pPr>
    </w:lvl>
    <w:lvl w:ilvl="8">
      <w:start w:val="0"/>
      <w:numFmt w:val="decimal"/>
      <w:isLgl w:val="false"/>
      <w:suff w:val="tab"/>
      <w:lvlText w:val=""/>
      <w:lvlJc w:val="left"/>
      <w:pPr>
        <w:tabs>
          <w:tab w:val="num" w:pos="360" w:leader="none"/>
        </w:tabs>
      </w:p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80" w:hanging="360"/>
      </w:pPr>
      <w:rPr>
        <w:rFonts w:ascii="Symbol" w:hAnsi="Symbol"/>
        <w:b w:val="0"/>
        <w:i w:val="0"/>
      </w:rPr>
    </w:lvl>
    <w:lvl w:ilvl="1">
      <w:start w:val="1"/>
      <w:numFmt w:val="bullet"/>
      <w:isLgl w:val="false"/>
      <w:suff w:val="tab"/>
      <w:lvlText w:val="o"/>
      <w:lvlJc w:val="left"/>
      <w:pPr>
        <w:ind w:left="150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22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94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6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8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10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82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540" w:hanging="360"/>
      </w:pPr>
      <w:rPr>
        <w:rFonts w:ascii="Wingdings" w:hAnsi="Wingdings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-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-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3">
    <w:multiLevelType w:val="hybridMultilevel"/>
    <w:lvl w:ilvl="0">
      <w:start w:val="3"/>
      <w:numFmt w:val="upperRoman"/>
      <w:isLgl w:val="false"/>
      <w:suff w:val="tab"/>
      <w:lvlText w:val="%1."/>
      <w:lvlJc w:val="left"/>
      <w:pPr>
        <w:ind w:left="1080" w:hanging="72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b w:val="0"/>
        <w:sz w:val="22"/>
        <w:szCs w:val="22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"/>
      <w:lvlJc w:val="left"/>
      <w:pPr>
        <w:ind w:left="1440" w:hanging="360"/>
      </w:pPr>
      <w:rPr>
        <w:rFonts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216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8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60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2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4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6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8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200" w:hanging="360"/>
      </w:pPr>
      <w:rPr>
        <w:rFonts w:ascii="Wingdings" w:hAnsi="Wingdings"/>
      </w:rPr>
    </w:lvl>
  </w:abstractNum>
  <w:abstractNum w:abstractNumId="1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-"/>
      <w:lvlJc w:val="left"/>
      <w:pPr>
        <w:ind w:left="78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5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2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9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1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8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540" w:hanging="180"/>
      </w:p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360" w:hanging="36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</w:lvl>
  </w:abstractNum>
  <w:abstractNum w:abstractNumId="2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60" w:hanging="360"/>
      </w:pPr>
      <w:rPr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9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7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20" w:hanging="180"/>
      </w:pPr>
    </w:lvl>
  </w:abstractNum>
  <w:abstractNum w:abstractNumId="2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b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1069" w:hanging="36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429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429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789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789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2149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149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509" w:hanging="1800"/>
      </w:p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."/>
      <w:lvlJc w:val="center"/>
      <w:pPr>
        <w:ind w:left="510" w:hanging="397"/>
        <w:tabs>
          <w:tab w:val="num" w:pos="510" w:leader="none"/>
        </w:tabs>
      </w:pPr>
    </w:lvl>
    <w:lvl w:ilvl="1">
      <w:start w:val="0"/>
      <w:numFmt w:val="decimal"/>
      <w:isLgl w:val="false"/>
      <w:suff w:val="tab"/>
      <w:lvlText w:val=""/>
      <w:lvlJc w:val="left"/>
      <w:pPr>
        <w:tabs>
          <w:tab w:val="num" w:pos="360" w:leader="none"/>
        </w:tabs>
      </w:pPr>
    </w:lvl>
    <w:lvl w:ilvl="2">
      <w:start w:val="0"/>
      <w:numFmt w:val="decimal"/>
      <w:isLgl w:val="false"/>
      <w:suff w:val="tab"/>
      <w:lvlText w:val=""/>
      <w:lvlJc w:val="left"/>
      <w:pPr>
        <w:tabs>
          <w:tab w:val="num" w:pos="360" w:leader="none"/>
        </w:tabs>
      </w:pPr>
    </w:lvl>
    <w:lvl w:ilvl="3">
      <w:start w:val="0"/>
      <w:numFmt w:val="decimal"/>
      <w:isLgl w:val="false"/>
      <w:suff w:val="tab"/>
      <w:lvlText w:val=""/>
      <w:lvlJc w:val="left"/>
      <w:pPr>
        <w:tabs>
          <w:tab w:val="num" w:pos="360" w:leader="none"/>
        </w:tabs>
      </w:pPr>
    </w:lvl>
    <w:lvl w:ilvl="4">
      <w:start w:val="0"/>
      <w:numFmt w:val="decimal"/>
      <w:isLgl w:val="false"/>
      <w:suff w:val="tab"/>
      <w:lvlText w:val=""/>
      <w:lvlJc w:val="left"/>
      <w:pPr>
        <w:tabs>
          <w:tab w:val="num" w:pos="360" w:leader="none"/>
        </w:tabs>
      </w:pPr>
    </w:lvl>
    <w:lvl w:ilvl="5">
      <w:start w:val="0"/>
      <w:numFmt w:val="decimal"/>
      <w:isLgl w:val="false"/>
      <w:suff w:val="tab"/>
      <w:lvlText w:val=""/>
      <w:lvlJc w:val="left"/>
      <w:pPr>
        <w:tabs>
          <w:tab w:val="num" w:pos="360" w:leader="none"/>
        </w:tabs>
      </w:pPr>
    </w:lvl>
    <w:lvl w:ilvl="6">
      <w:start w:val="0"/>
      <w:numFmt w:val="decimal"/>
      <w:isLgl w:val="false"/>
      <w:suff w:val="tab"/>
      <w:lvlText w:val=""/>
      <w:lvlJc w:val="left"/>
      <w:pPr>
        <w:tabs>
          <w:tab w:val="num" w:pos="360" w:leader="none"/>
        </w:tabs>
      </w:pPr>
    </w:lvl>
    <w:lvl w:ilvl="7">
      <w:start w:val="0"/>
      <w:numFmt w:val="decimal"/>
      <w:isLgl w:val="false"/>
      <w:suff w:val="tab"/>
      <w:lvlText w:val=""/>
      <w:lvlJc w:val="left"/>
      <w:pPr>
        <w:tabs>
          <w:tab w:val="num" w:pos="360" w:leader="none"/>
        </w:tabs>
      </w:pPr>
    </w:lvl>
    <w:lvl w:ilvl="8">
      <w:start w:val="0"/>
      <w:numFmt w:val="decimal"/>
      <w:isLgl w:val="false"/>
      <w:suff w:val="tab"/>
      <w:lvlText w:val=""/>
      <w:lvlJc w:val="left"/>
      <w:pPr>
        <w:tabs>
          <w:tab w:val="num" w:pos="360" w:leader="none"/>
        </w:tabs>
      </w:p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b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1069" w:hanging="36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429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429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789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789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2149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149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509" w:hanging="1800"/>
      </w:pPr>
    </w:lvl>
  </w:abstractNum>
  <w:abstractNum w:abstractNumId="3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44" w:hanging="360"/>
      </w:pPr>
    </w:lvl>
    <w:lvl w:ilvl="1">
      <w:start w:val="2"/>
      <w:numFmt w:val="decimal"/>
      <w:isLgl w:val="false"/>
      <w:suff w:val="tab"/>
      <w:lvlText w:val="%1.%2."/>
      <w:lvlJc w:val="left"/>
      <w:pPr>
        <w:ind w:left="644" w:hanging="36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004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004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364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364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724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724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084" w:hanging="1800"/>
      </w:pPr>
    </w:lvl>
  </w:abstractNum>
  <w:abstractNum w:abstractNumId="3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ascii="Times New Roman" w:hAnsi="Times New Roman"/>
        <w:b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1069" w:hanging="360"/>
      </w:pPr>
      <w:rPr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778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127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836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185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894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243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952" w:hanging="1800"/>
      </w:pPr>
    </w:lvl>
  </w:abstractNum>
  <w:abstractNum w:abstractNumId="35">
    <w:multiLevelType w:val="hybridMultilevel"/>
    <w:lvl w:ilvl="0">
      <w:start w:val="1"/>
      <w:numFmt w:val="upperRoman"/>
      <w:isLgl w:val="false"/>
      <w:suff w:val="tab"/>
      <w:lvlText w:val="%1."/>
      <w:lvlJc w:val="right"/>
      <w:pPr>
        <w:ind w:left="1260" w:hanging="360"/>
      </w:pPr>
      <w:rPr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9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7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20" w:hanging="180"/>
      </w:pPr>
    </w:lvl>
  </w:abstractNum>
  <w:abstractNum w:abstractNumId="3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b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1069" w:hanging="36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429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429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789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789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2149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149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509" w:hanging="1800"/>
      </w:pPr>
    </w:lvl>
  </w:abstractNum>
  <w:abstractNum w:abstractNumId="3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5"/>
  </w:num>
  <w:num w:numId="3">
    <w:abstractNumId w:val="30"/>
  </w:num>
  <w:num w:numId="4">
    <w:abstractNumId w:val="27"/>
  </w:num>
  <w:num w:numId="5">
    <w:abstractNumId w:val="17"/>
  </w:num>
  <w:num w:numId="6">
    <w:abstractNumId w:val="24"/>
  </w:num>
  <w:num w:numId="7">
    <w:abstractNumId w:val="0"/>
  </w:num>
  <w:num w:numId="8">
    <w:abstractNumId w:val="10"/>
  </w:num>
  <w:num w:numId="9">
    <w:abstractNumId w:val="12"/>
  </w:num>
  <w:num w:numId="10">
    <w:abstractNumId w:val="21"/>
  </w:num>
  <w:num w:numId="11">
    <w:abstractNumId w:val="9"/>
  </w:num>
  <w:num w:numId="12">
    <w:abstractNumId w:val="26"/>
  </w:num>
  <w:num w:numId="13">
    <w:abstractNumId w:val="2"/>
  </w:num>
  <w:num w:numId="14">
    <w:abstractNumId w:val="3"/>
  </w:num>
  <w:num w:numId="15">
    <w:abstractNumId w:val="18"/>
  </w:num>
  <w:num w:numId="16">
    <w:abstractNumId w:val="25"/>
  </w:num>
  <w:num w:numId="17">
    <w:abstractNumId w:val="14"/>
  </w:num>
  <w:num w:numId="18">
    <w:abstractNumId w:val="29"/>
  </w:num>
  <w:num w:numId="19">
    <w:abstractNumId w:val="34"/>
  </w:num>
  <w:num w:numId="20">
    <w:abstractNumId w:val="22"/>
  </w:num>
  <w:num w:numId="21">
    <w:abstractNumId w:val="11"/>
  </w:num>
  <w:num w:numId="22">
    <w:abstractNumId w:val="15"/>
  </w:num>
  <w:num w:numId="23">
    <w:abstractNumId w:val="16"/>
  </w:num>
  <w:num w:numId="24">
    <w:abstractNumId w:val="33"/>
  </w:num>
  <w:num w:numId="25">
    <w:abstractNumId w:val="5"/>
  </w:num>
  <w:num w:numId="26">
    <w:abstractNumId w:val="19"/>
  </w:num>
  <w:num w:numId="27">
    <w:abstractNumId w:val="28"/>
  </w:num>
  <w:num w:numId="28">
    <w:abstractNumId w:val="31"/>
  </w:num>
  <w:num w:numId="29">
    <w:abstractNumId w:val="4"/>
  </w:num>
  <w:num w:numId="30">
    <w:abstractNumId w:val="23"/>
  </w:num>
  <w:num w:numId="31">
    <w:abstractNumId w:val="20"/>
  </w:num>
  <w:num w:numId="32">
    <w:abstractNumId w:val="1"/>
  </w:num>
  <w:num w:numId="33">
    <w:abstractNumId w:val="6"/>
  </w:num>
  <w:num w:numId="34">
    <w:abstractNumId w:val="32"/>
  </w:num>
  <w:num w:numId="35">
    <w:abstractNumId w:val="8"/>
  </w:num>
  <w:num w:numId="36">
    <w:abstractNumId w:val="13"/>
  </w:num>
  <w:num w:numId="37">
    <w:abstractNumId w:val="36"/>
  </w:num>
  <w:num w:numId="38">
    <w:abstractNumId w:val="37"/>
  </w:num>
  <w:num w:numId="39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71">
    <w:name w:val="Heading 1"/>
    <w:basedOn w:val="949"/>
    <w:next w:val="949"/>
    <w:link w:val="772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772">
    <w:name w:val="Heading 1 Char"/>
    <w:link w:val="771"/>
    <w:uiPriority w:val="9"/>
    <w:rPr>
      <w:rFonts w:ascii="Arial" w:hAnsi="Arial" w:eastAsia="Arial" w:cs="Arial"/>
      <w:sz w:val="40"/>
      <w:szCs w:val="40"/>
    </w:rPr>
  </w:style>
  <w:style w:type="paragraph" w:styleId="773">
    <w:name w:val="Heading 2"/>
    <w:basedOn w:val="949"/>
    <w:next w:val="949"/>
    <w:link w:val="774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774">
    <w:name w:val="Heading 2 Char"/>
    <w:link w:val="773"/>
    <w:uiPriority w:val="9"/>
    <w:rPr>
      <w:rFonts w:ascii="Arial" w:hAnsi="Arial" w:eastAsia="Arial" w:cs="Arial"/>
      <w:sz w:val="34"/>
    </w:rPr>
  </w:style>
  <w:style w:type="paragraph" w:styleId="775">
    <w:name w:val="Heading 3"/>
    <w:basedOn w:val="949"/>
    <w:next w:val="949"/>
    <w:link w:val="776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776">
    <w:name w:val="Heading 3 Char"/>
    <w:link w:val="775"/>
    <w:uiPriority w:val="9"/>
    <w:rPr>
      <w:rFonts w:ascii="Arial" w:hAnsi="Arial" w:eastAsia="Arial" w:cs="Arial"/>
      <w:sz w:val="30"/>
      <w:szCs w:val="30"/>
    </w:rPr>
  </w:style>
  <w:style w:type="paragraph" w:styleId="777">
    <w:name w:val="Heading 4"/>
    <w:basedOn w:val="949"/>
    <w:next w:val="949"/>
    <w:link w:val="778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78">
    <w:name w:val="Heading 4 Char"/>
    <w:link w:val="777"/>
    <w:uiPriority w:val="9"/>
    <w:rPr>
      <w:rFonts w:ascii="Arial" w:hAnsi="Arial" w:eastAsia="Arial" w:cs="Arial"/>
      <w:b/>
      <w:bCs/>
      <w:sz w:val="26"/>
      <w:szCs w:val="26"/>
    </w:rPr>
  </w:style>
  <w:style w:type="paragraph" w:styleId="779">
    <w:name w:val="Heading 5"/>
    <w:basedOn w:val="949"/>
    <w:next w:val="949"/>
    <w:link w:val="780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80">
    <w:name w:val="Heading 5 Char"/>
    <w:link w:val="779"/>
    <w:uiPriority w:val="9"/>
    <w:rPr>
      <w:rFonts w:ascii="Arial" w:hAnsi="Arial" w:eastAsia="Arial" w:cs="Arial"/>
      <w:b/>
      <w:bCs/>
      <w:sz w:val="24"/>
      <w:szCs w:val="24"/>
    </w:rPr>
  </w:style>
  <w:style w:type="paragraph" w:styleId="781">
    <w:name w:val="Heading 6"/>
    <w:basedOn w:val="949"/>
    <w:next w:val="949"/>
    <w:link w:val="782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82">
    <w:name w:val="Heading 6 Char"/>
    <w:link w:val="781"/>
    <w:uiPriority w:val="9"/>
    <w:rPr>
      <w:rFonts w:ascii="Arial" w:hAnsi="Arial" w:eastAsia="Arial" w:cs="Arial"/>
      <w:b/>
      <w:bCs/>
      <w:sz w:val="22"/>
      <w:szCs w:val="22"/>
    </w:rPr>
  </w:style>
  <w:style w:type="paragraph" w:styleId="783">
    <w:name w:val="Heading 7"/>
    <w:basedOn w:val="949"/>
    <w:next w:val="949"/>
    <w:link w:val="784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84">
    <w:name w:val="Heading 7 Char"/>
    <w:link w:val="783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85">
    <w:name w:val="Heading 8"/>
    <w:basedOn w:val="949"/>
    <w:next w:val="949"/>
    <w:link w:val="786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86">
    <w:name w:val="Heading 8 Char"/>
    <w:link w:val="785"/>
    <w:uiPriority w:val="9"/>
    <w:rPr>
      <w:rFonts w:ascii="Arial" w:hAnsi="Arial" w:eastAsia="Arial" w:cs="Arial"/>
      <w:i/>
      <w:iCs/>
      <w:sz w:val="22"/>
      <w:szCs w:val="22"/>
    </w:rPr>
  </w:style>
  <w:style w:type="paragraph" w:styleId="787">
    <w:name w:val="Heading 9"/>
    <w:basedOn w:val="949"/>
    <w:next w:val="949"/>
    <w:link w:val="788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88">
    <w:name w:val="Heading 9 Char"/>
    <w:link w:val="787"/>
    <w:uiPriority w:val="9"/>
    <w:rPr>
      <w:rFonts w:ascii="Arial" w:hAnsi="Arial" w:eastAsia="Arial" w:cs="Arial"/>
      <w:i/>
      <w:iCs/>
      <w:sz w:val="21"/>
      <w:szCs w:val="21"/>
    </w:rPr>
  </w:style>
  <w:style w:type="paragraph" w:styleId="789">
    <w:name w:val="List Paragraph"/>
    <w:basedOn w:val="949"/>
    <w:uiPriority w:val="34"/>
    <w:qFormat/>
    <w:pPr>
      <w:contextualSpacing/>
      <w:ind w:left="720"/>
    </w:pPr>
  </w:style>
  <w:style w:type="paragraph" w:styleId="790">
    <w:name w:val="No Spacing"/>
    <w:uiPriority w:val="1"/>
    <w:qFormat/>
    <w:pPr>
      <w:spacing w:before="0" w:after="0" w:line="240" w:lineRule="auto"/>
    </w:pPr>
  </w:style>
  <w:style w:type="paragraph" w:styleId="791">
    <w:name w:val="Title"/>
    <w:basedOn w:val="949"/>
    <w:next w:val="949"/>
    <w:link w:val="792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92">
    <w:name w:val="Title Char"/>
    <w:link w:val="791"/>
    <w:uiPriority w:val="10"/>
    <w:rPr>
      <w:sz w:val="48"/>
      <w:szCs w:val="48"/>
    </w:rPr>
  </w:style>
  <w:style w:type="paragraph" w:styleId="793">
    <w:name w:val="Subtitle"/>
    <w:basedOn w:val="949"/>
    <w:next w:val="949"/>
    <w:link w:val="794"/>
    <w:uiPriority w:val="11"/>
    <w:qFormat/>
    <w:pPr>
      <w:spacing w:before="200" w:after="200"/>
    </w:pPr>
    <w:rPr>
      <w:sz w:val="24"/>
      <w:szCs w:val="24"/>
    </w:rPr>
  </w:style>
  <w:style w:type="character" w:styleId="794">
    <w:name w:val="Subtitle Char"/>
    <w:link w:val="793"/>
    <w:uiPriority w:val="11"/>
    <w:rPr>
      <w:sz w:val="24"/>
      <w:szCs w:val="24"/>
    </w:rPr>
  </w:style>
  <w:style w:type="paragraph" w:styleId="795">
    <w:name w:val="Quote"/>
    <w:basedOn w:val="949"/>
    <w:next w:val="949"/>
    <w:link w:val="796"/>
    <w:uiPriority w:val="29"/>
    <w:qFormat/>
    <w:pPr>
      <w:ind w:left="720" w:right="720"/>
    </w:pPr>
    <w:rPr>
      <w:i/>
    </w:rPr>
  </w:style>
  <w:style w:type="character" w:styleId="796">
    <w:name w:val="Quote Char"/>
    <w:link w:val="795"/>
    <w:uiPriority w:val="29"/>
    <w:rPr>
      <w:i/>
    </w:rPr>
  </w:style>
  <w:style w:type="paragraph" w:styleId="797">
    <w:name w:val="Intense Quote"/>
    <w:basedOn w:val="949"/>
    <w:next w:val="949"/>
    <w:link w:val="798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98">
    <w:name w:val="Intense Quote Char"/>
    <w:link w:val="797"/>
    <w:uiPriority w:val="30"/>
    <w:rPr>
      <w:i/>
    </w:rPr>
  </w:style>
  <w:style w:type="paragraph" w:styleId="799">
    <w:name w:val="Header"/>
    <w:basedOn w:val="949"/>
    <w:link w:val="800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800">
    <w:name w:val="Header Char"/>
    <w:link w:val="799"/>
    <w:uiPriority w:val="99"/>
  </w:style>
  <w:style w:type="paragraph" w:styleId="801">
    <w:name w:val="Footer"/>
    <w:basedOn w:val="949"/>
    <w:link w:val="80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802">
    <w:name w:val="Footer Char"/>
    <w:link w:val="801"/>
    <w:uiPriority w:val="99"/>
  </w:style>
  <w:style w:type="paragraph" w:styleId="803">
    <w:name w:val="Caption"/>
    <w:basedOn w:val="949"/>
    <w:next w:val="949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804">
    <w:name w:val="Caption Char"/>
    <w:basedOn w:val="803"/>
    <w:link w:val="801"/>
    <w:uiPriority w:val="99"/>
  </w:style>
  <w:style w:type="table" w:styleId="805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06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07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08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09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10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1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12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3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4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5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6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7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8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9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0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1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2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3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4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5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6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7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8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9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0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1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2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3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34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835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36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37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38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39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40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1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42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43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44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45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46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847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48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49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50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51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52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53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54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5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6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7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8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9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0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1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2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3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4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5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6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7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8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69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70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71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72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73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74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75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6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7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8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9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0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1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2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3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4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5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6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7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8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9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90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91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92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93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94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95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96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97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98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99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900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901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902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903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904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905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906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907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908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909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910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11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12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13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14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15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16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17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18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19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20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21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22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23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24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925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926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927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928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929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930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931">
    <w:name w:val="Hyperlink"/>
    <w:uiPriority w:val="99"/>
    <w:unhideWhenUsed/>
    <w:rPr>
      <w:color w:val="0000ff" w:themeColor="hyperlink"/>
      <w:u w:val="single"/>
    </w:rPr>
  </w:style>
  <w:style w:type="paragraph" w:styleId="932">
    <w:name w:val="footnote text"/>
    <w:basedOn w:val="949"/>
    <w:link w:val="933"/>
    <w:uiPriority w:val="99"/>
    <w:semiHidden/>
    <w:unhideWhenUsed/>
    <w:pPr>
      <w:spacing w:after="40" w:line="240" w:lineRule="auto"/>
    </w:pPr>
    <w:rPr>
      <w:sz w:val="18"/>
    </w:rPr>
  </w:style>
  <w:style w:type="character" w:styleId="933">
    <w:name w:val="Footnote Text Char"/>
    <w:link w:val="932"/>
    <w:uiPriority w:val="99"/>
    <w:rPr>
      <w:sz w:val="18"/>
    </w:rPr>
  </w:style>
  <w:style w:type="character" w:styleId="934">
    <w:name w:val="footnote reference"/>
    <w:uiPriority w:val="99"/>
    <w:unhideWhenUsed/>
    <w:rPr>
      <w:vertAlign w:val="superscript"/>
    </w:rPr>
  </w:style>
  <w:style w:type="paragraph" w:styleId="935">
    <w:name w:val="endnote text"/>
    <w:basedOn w:val="949"/>
    <w:link w:val="936"/>
    <w:uiPriority w:val="99"/>
    <w:semiHidden/>
    <w:unhideWhenUsed/>
    <w:pPr>
      <w:spacing w:after="0" w:line="240" w:lineRule="auto"/>
    </w:pPr>
    <w:rPr>
      <w:sz w:val="20"/>
    </w:rPr>
  </w:style>
  <w:style w:type="character" w:styleId="936">
    <w:name w:val="Endnote Text Char"/>
    <w:link w:val="935"/>
    <w:uiPriority w:val="99"/>
    <w:rPr>
      <w:sz w:val="20"/>
    </w:rPr>
  </w:style>
  <w:style w:type="character" w:styleId="937">
    <w:name w:val="endnote reference"/>
    <w:uiPriority w:val="99"/>
    <w:semiHidden/>
    <w:unhideWhenUsed/>
    <w:rPr>
      <w:vertAlign w:val="superscript"/>
    </w:rPr>
  </w:style>
  <w:style w:type="paragraph" w:styleId="938">
    <w:name w:val="toc 1"/>
    <w:basedOn w:val="949"/>
    <w:next w:val="949"/>
    <w:uiPriority w:val="39"/>
    <w:unhideWhenUsed/>
    <w:pPr>
      <w:ind w:left="0" w:right="0" w:firstLine="0"/>
      <w:spacing w:after="57"/>
    </w:pPr>
  </w:style>
  <w:style w:type="paragraph" w:styleId="939">
    <w:name w:val="toc 2"/>
    <w:basedOn w:val="949"/>
    <w:next w:val="949"/>
    <w:uiPriority w:val="39"/>
    <w:unhideWhenUsed/>
    <w:pPr>
      <w:ind w:left="283" w:right="0" w:firstLine="0"/>
      <w:spacing w:after="57"/>
    </w:pPr>
  </w:style>
  <w:style w:type="paragraph" w:styleId="940">
    <w:name w:val="toc 3"/>
    <w:basedOn w:val="949"/>
    <w:next w:val="949"/>
    <w:uiPriority w:val="39"/>
    <w:unhideWhenUsed/>
    <w:pPr>
      <w:ind w:left="567" w:right="0" w:firstLine="0"/>
      <w:spacing w:after="57"/>
    </w:pPr>
  </w:style>
  <w:style w:type="paragraph" w:styleId="941">
    <w:name w:val="toc 4"/>
    <w:basedOn w:val="949"/>
    <w:next w:val="949"/>
    <w:uiPriority w:val="39"/>
    <w:unhideWhenUsed/>
    <w:pPr>
      <w:ind w:left="850" w:right="0" w:firstLine="0"/>
      <w:spacing w:after="57"/>
    </w:pPr>
  </w:style>
  <w:style w:type="paragraph" w:styleId="942">
    <w:name w:val="toc 5"/>
    <w:basedOn w:val="949"/>
    <w:next w:val="949"/>
    <w:uiPriority w:val="39"/>
    <w:unhideWhenUsed/>
    <w:pPr>
      <w:ind w:left="1134" w:right="0" w:firstLine="0"/>
      <w:spacing w:after="57"/>
    </w:pPr>
  </w:style>
  <w:style w:type="paragraph" w:styleId="943">
    <w:name w:val="toc 6"/>
    <w:basedOn w:val="949"/>
    <w:next w:val="949"/>
    <w:uiPriority w:val="39"/>
    <w:unhideWhenUsed/>
    <w:pPr>
      <w:ind w:left="1417" w:right="0" w:firstLine="0"/>
      <w:spacing w:after="57"/>
    </w:pPr>
  </w:style>
  <w:style w:type="paragraph" w:styleId="944">
    <w:name w:val="toc 7"/>
    <w:basedOn w:val="949"/>
    <w:next w:val="949"/>
    <w:uiPriority w:val="39"/>
    <w:unhideWhenUsed/>
    <w:pPr>
      <w:ind w:left="1701" w:right="0" w:firstLine="0"/>
      <w:spacing w:after="57"/>
    </w:pPr>
  </w:style>
  <w:style w:type="paragraph" w:styleId="945">
    <w:name w:val="toc 8"/>
    <w:basedOn w:val="949"/>
    <w:next w:val="949"/>
    <w:uiPriority w:val="39"/>
    <w:unhideWhenUsed/>
    <w:pPr>
      <w:ind w:left="1984" w:right="0" w:firstLine="0"/>
      <w:spacing w:after="57"/>
    </w:pPr>
  </w:style>
  <w:style w:type="paragraph" w:styleId="946">
    <w:name w:val="toc 9"/>
    <w:basedOn w:val="949"/>
    <w:next w:val="949"/>
    <w:uiPriority w:val="39"/>
    <w:unhideWhenUsed/>
    <w:pPr>
      <w:ind w:left="2268" w:right="0" w:firstLine="0"/>
      <w:spacing w:after="57"/>
    </w:pPr>
  </w:style>
  <w:style w:type="paragraph" w:styleId="947">
    <w:name w:val="TOC Heading"/>
    <w:uiPriority w:val="39"/>
    <w:unhideWhenUsed/>
  </w:style>
  <w:style w:type="paragraph" w:styleId="948">
    <w:name w:val="table of figures"/>
    <w:basedOn w:val="949"/>
    <w:next w:val="949"/>
    <w:uiPriority w:val="99"/>
    <w:unhideWhenUsed/>
    <w:pPr>
      <w:spacing w:after="0" w:afterAutospacing="0"/>
    </w:pPr>
  </w:style>
  <w:style w:type="paragraph" w:styleId="949" w:default="1">
    <w:name w:val="Normal"/>
    <w:next w:val="949"/>
    <w:link w:val="949"/>
    <w:qFormat/>
    <w:rPr>
      <w:sz w:val="24"/>
      <w:szCs w:val="24"/>
      <w:lang w:val="ru-RU" w:eastAsia="ru-RU" w:bidi="ar-SA"/>
    </w:rPr>
  </w:style>
  <w:style w:type="paragraph" w:styleId="950">
    <w:name w:val="Заголовок 1,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949"/>
    <w:next w:val="949"/>
    <w:link w:val="977"/>
    <w:qFormat/>
    <w:pPr>
      <w:ind w:left="1134" w:hanging="1134"/>
      <w:keepLines/>
      <w:keepNext/>
      <w:pageBreakBefore/>
      <w:spacing w:before="480" w:after="240"/>
      <w:tabs>
        <w:tab w:val="num" w:pos="1134" w:leader="none"/>
      </w:tabs>
      <w:outlineLvl w:val="0"/>
    </w:pPr>
    <w:rPr>
      <w:rFonts w:ascii="Arial" w:hAnsi="Arial"/>
      <w:b/>
      <w:sz w:val="40"/>
      <w:lang w:val="en-US" w:eastAsia="en-US"/>
    </w:rPr>
  </w:style>
  <w:style w:type="paragraph" w:styleId="951">
    <w:name w:val="Заголовок 2,Заголовок 2 Знак,H2,H2 Знак,Заголовок 21,2,h2,Б2,RTC,iz2,Заголовок 2 Знак1,Numbered text 3,HD2,heading 2,Heading 2 Hidden,Раздел Знак,Заголовок 2 Знак Знак,Level 2 Topic Heading,H21,Major,CHS,H2-Heading 2,l2,Header2,22,heading2,list2,A,A.B.C"/>
    <w:basedOn w:val="949"/>
    <w:next w:val="949"/>
    <w:link w:val="949"/>
    <w:qFormat/>
    <w:pPr>
      <w:jc w:val="both"/>
      <w:keepNext/>
      <w:outlineLvl w:val="1"/>
    </w:pPr>
    <w:rPr>
      <w:sz w:val="24"/>
    </w:rPr>
  </w:style>
  <w:style w:type="paragraph" w:styleId="952">
    <w:name w:val="Заголовок 3"/>
    <w:basedOn w:val="949"/>
    <w:next w:val="949"/>
    <w:link w:val="991"/>
    <w:semiHidden/>
    <w:unhideWhenUsed/>
    <w:qFormat/>
    <w:pPr>
      <w:keepNext/>
      <w:spacing w:before="240" w:after="60"/>
      <w:outlineLvl w:val="2"/>
    </w:pPr>
    <w:rPr>
      <w:rFonts w:ascii="Cambria" w:hAnsi="Cambria" w:eastAsia="Times New Roman" w:cs="Times New Roman"/>
      <w:b/>
      <w:bCs/>
      <w:sz w:val="26"/>
      <w:szCs w:val="26"/>
    </w:rPr>
  </w:style>
  <w:style w:type="paragraph" w:styleId="953">
    <w:name w:val="Заголовок 5"/>
    <w:basedOn w:val="949"/>
    <w:next w:val="949"/>
    <w:link w:val="949"/>
    <w:qFormat/>
    <w:pPr>
      <w:keepNext/>
      <w:outlineLvl w:val="4"/>
    </w:pPr>
    <w:rPr>
      <w:rFonts w:ascii="Times New Roman" w:hAnsi="Times New Roman"/>
      <w:b/>
      <w:bCs/>
      <w:sz w:val="24"/>
    </w:rPr>
  </w:style>
  <w:style w:type="paragraph" w:styleId="954">
    <w:name w:val="Заголовок 9"/>
    <w:basedOn w:val="949"/>
    <w:next w:val="949"/>
    <w:link w:val="990"/>
    <w:qFormat/>
    <w:pPr>
      <w:jc w:val="center"/>
      <w:keepNext/>
      <w:outlineLvl w:val="8"/>
    </w:pPr>
    <w:rPr>
      <w:rFonts w:ascii="Times New Roman" w:hAnsi="Times New Roman"/>
      <w:sz w:val="24"/>
    </w:rPr>
  </w:style>
  <w:style w:type="character" w:styleId="955">
    <w:name w:val="Основной шрифт абзаца"/>
    <w:next w:val="955"/>
    <w:link w:val="949"/>
    <w:semiHidden/>
  </w:style>
  <w:style w:type="table" w:styleId="956">
    <w:name w:val="Обычная таблица"/>
    <w:next w:val="956"/>
    <w:link w:val="949"/>
    <w:semiHidden/>
    <w:tblPr/>
  </w:style>
  <w:style w:type="numbering" w:styleId="957">
    <w:name w:val="Нет списка"/>
    <w:next w:val="957"/>
    <w:link w:val="949"/>
    <w:semiHidden/>
  </w:style>
  <w:style w:type="character" w:styleId="958">
    <w:name w:val="Гиперссылка"/>
    <w:next w:val="958"/>
    <w:link w:val="949"/>
    <w:rPr>
      <w:color w:val="0000ff"/>
      <w:u w:val="single"/>
    </w:rPr>
  </w:style>
  <w:style w:type="paragraph" w:styleId="959">
    <w:name w:val="Верхний колонтитул"/>
    <w:basedOn w:val="949"/>
    <w:next w:val="959"/>
    <w:link w:val="970"/>
    <w:uiPriority w:val="99"/>
    <w:pPr>
      <w:tabs>
        <w:tab w:val="center" w:pos="4677" w:leader="none"/>
        <w:tab w:val="right" w:pos="9355" w:leader="none"/>
      </w:tabs>
    </w:pPr>
    <w:rPr>
      <w:lang w:val="en-US" w:eastAsia="en-US"/>
    </w:rPr>
  </w:style>
  <w:style w:type="paragraph" w:styleId="960">
    <w:name w:val="Нижний колонтитул"/>
    <w:basedOn w:val="949"/>
    <w:next w:val="960"/>
    <w:link w:val="967"/>
    <w:uiPriority w:val="99"/>
    <w:pPr>
      <w:tabs>
        <w:tab w:val="center" w:pos="4677" w:leader="none"/>
        <w:tab w:val="right" w:pos="9355" w:leader="none"/>
      </w:tabs>
    </w:pPr>
  </w:style>
  <w:style w:type="paragraph" w:styleId="961">
    <w:name w:val="Текст выноски"/>
    <w:basedOn w:val="949"/>
    <w:next w:val="961"/>
    <w:link w:val="974"/>
    <w:semiHidden/>
    <w:rPr>
      <w:rFonts w:ascii="Tahoma" w:hAnsi="Tahoma"/>
      <w:sz w:val="16"/>
      <w:szCs w:val="16"/>
      <w:lang w:val="en-US" w:eastAsia="en-US"/>
    </w:rPr>
  </w:style>
  <w:style w:type="paragraph" w:styleId="962">
    <w:name w:val="Основной текст,Основной текст таблиц,в таблице,таблицы,в таблицах, в таблице, в таблицах"/>
    <w:basedOn w:val="949"/>
    <w:next w:val="962"/>
    <w:link w:val="988"/>
    <w:pPr>
      <w:ind w:right="4961"/>
      <w:tabs>
        <w:tab w:val="left" w:pos="4536" w:leader="none"/>
      </w:tabs>
    </w:pPr>
    <w:rPr>
      <w:sz w:val="24"/>
    </w:rPr>
  </w:style>
  <w:style w:type="paragraph" w:styleId="963">
    <w:name w:val="Normal1"/>
    <w:next w:val="963"/>
    <w:link w:val="949"/>
    <w:pPr>
      <w:spacing w:before="100" w:after="100"/>
    </w:pPr>
    <w:rPr>
      <w:sz w:val="24"/>
      <w:lang w:val="ru-RU" w:eastAsia="ru-RU" w:bidi="ar-SA"/>
    </w:rPr>
  </w:style>
  <w:style w:type="paragraph" w:styleId="964">
    <w:name w:val="Нумерованный список"/>
    <w:basedOn w:val="949"/>
    <w:next w:val="964"/>
    <w:link w:val="949"/>
    <w:pPr>
      <w:jc w:val="both"/>
      <w:spacing w:before="60" w:line="360" w:lineRule="auto"/>
    </w:pPr>
    <w:rPr>
      <w:rFonts w:ascii="Times New Roman" w:hAnsi="Times New Roman"/>
      <w:sz w:val="28"/>
      <w:szCs w:val="24"/>
    </w:rPr>
  </w:style>
  <w:style w:type="paragraph" w:styleId="965">
    <w:name w:val="Пункт"/>
    <w:basedOn w:val="949"/>
    <w:next w:val="965"/>
    <w:link w:val="966"/>
    <w:pPr>
      <w:ind w:left="1134" w:hanging="1134"/>
      <w:jc w:val="both"/>
      <w:spacing w:line="360" w:lineRule="auto"/>
      <w:tabs>
        <w:tab w:val="num" w:pos="1134" w:leader="none"/>
      </w:tabs>
    </w:pPr>
    <w:rPr>
      <w:rFonts w:ascii="Times New Roman" w:hAnsi="Times New Roman"/>
      <w:sz w:val="28"/>
    </w:rPr>
  </w:style>
  <w:style w:type="character" w:styleId="966">
    <w:name w:val="Пункт Знак1"/>
    <w:next w:val="966"/>
    <w:link w:val="965"/>
    <w:rPr>
      <w:sz w:val="28"/>
      <w:lang w:val="ru-RU" w:eastAsia="ru-RU" w:bidi="ar-SA"/>
    </w:rPr>
  </w:style>
  <w:style w:type="character" w:styleId="967">
    <w:name w:val="Нижний колонтитул Знак"/>
    <w:next w:val="967"/>
    <w:link w:val="960"/>
    <w:uiPriority w:val="99"/>
    <w:rPr>
      <w:rFonts w:ascii="Times New Roman CYR" w:hAnsi="Times New Roman CYR"/>
      <w:lang w:val="ru-RU" w:eastAsia="ru-RU" w:bidi="ar-SA"/>
    </w:rPr>
  </w:style>
  <w:style w:type="paragraph" w:styleId="968">
    <w:name w:val="Стиль Основной текст с отступом + 12 пт По ширине Слева:  0 см П..."/>
    <w:basedOn w:val="969"/>
    <w:next w:val="968"/>
    <w:link w:val="949"/>
    <w:pPr>
      <w:ind w:left="0" w:firstLine="567"/>
      <w:jc w:val="both"/>
      <w:spacing w:after="0"/>
    </w:pPr>
    <w:rPr>
      <w:rFonts w:ascii="Times New Roman" w:hAnsi="Times New Roman"/>
      <w:sz w:val="24"/>
    </w:rPr>
  </w:style>
  <w:style w:type="paragraph" w:styleId="969">
    <w:name w:val="Основной текст с отступом"/>
    <w:basedOn w:val="949"/>
    <w:next w:val="969"/>
    <w:link w:val="981"/>
    <w:pPr>
      <w:ind w:left="283"/>
      <w:spacing w:after="120"/>
    </w:pPr>
    <w:rPr>
      <w:lang w:val="en-US" w:eastAsia="en-US"/>
    </w:rPr>
  </w:style>
  <w:style w:type="character" w:styleId="970">
    <w:name w:val="Верхний колонтитул Знак"/>
    <w:next w:val="970"/>
    <w:link w:val="959"/>
    <w:uiPriority w:val="99"/>
    <w:rPr>
      <w:rFonts w:ascii="Times New Roman CYR" w:hAnsi="Times New Roman CYR"/>
    </w:rPr>
  </w:style>
  <w:style w:type="character" w:styleId="971">
    <w:name w:val="комментарий"/>
    <w:next w:val="971"/>
    <w:link w:val="949"/>
    <w:rPr>
      <w:b/>
      <w:i/>
      <w:shd w:val="clear" w:color="auto" w:fill="ffff99"/>
    </w:rPr>
  </w:style>
  <w:style w:type="paragraph" w:styleId="972">
    <w:name w:val="Заголовок,Название"/>
    <w:basedOn w:val="949"/>
    <w:next w:val="972"/>
    <w:link w:val="973"/>
    <w:qFormat/>
    <w:pPr>
      <w:jc w:val="center"/>
    </w:pPr>
    <w:rPr>
      <w:rFonts w:ascii="Times New Roman" w:hAnsi="Times New Roman"/>
      <w:b/>
      <w:sz w:val="22"/>
      <w:lang w:val="en-US" w:eastAsia="en-US"/>
    </w:rPr>
  </w:style>
  <w:style w:type="character" w:styleId="973">
    <w:name w:val="Название Знак"/>
    <w:next w:val="973"/>
    <w:link w:val="972"/>
    <w:rPr>
      <w:b/>
      <w:sz w:val="22"/>
    </w:rPr>
  </w:style>
  <w:style w:type="character" w:styleId="974">
    <w:name w:val="Текст выноски Знак"/>
    <w:next w:val="974"/>
    <w:link w:val="961"/>
    <w:semiHidden/>
    <w:rPr>
      <w:rFonts w:ascii="Tahoma" w:hAnsi="Tahoma" w:cs="Tahoma"/>
      <w:sz w:val="16"/>
      <w:szCs w:val="16"/>
    </w:rPr>
  </w:style>
  <w:style w:type="paragraph" w:styleId="975">
    <w:name w:val="Обычный2"/>
    <w:next w:val="975"/>
    <w:link w:val="949"/>
    <w:pPr>
      <w:spacing w:before="100" w:after="100"/>
    </w:pPr>
    <w:rPr>
      <w:sz w:val="24"/>
      <w:lang w:val="ru-RU" w:eastAsia="ru-RU" w:bidi="ar-SA"/>
    </w:rPr>
  </w:style>
  <w:style w:type="character" w:styleId="976">
    <w:name w:val="Строгий,0 Текст,0-текст,Заголовок  1"/>
    <w:next w:val="976"/>
    <w:link w:val="949"/>
    <w:uiPriority w:val="22"/>
    <w:qFormat/>
    <w:rPr>
      <w:b/>
      <w:bCs/>
    </w:rPr>
  </w:style>
  <w:style w:type="character" w:styleId="977">
    <w:name w:val="Заголовок 1 Знак"/>
    <w:next w:val="977"/>
    <w:link w:val="950"/>
    <w:rPr>
      <w:rFonts w:ascii="Arial" w:hAnsi="Arial"/>
      <w:b/>
      <w:sz w:val="40"/>
    </w:rPr>
  </w:style>
  <w:style w:type="paragraph" w:styleId="978">
    <w:name w:val="Подпункт"/>
    <w:basedOn w:val="965"/>
    <w:next w:val="978"/>
    <w:link w:val="949"/>
    <w:pPr>
      <w:ind w:left="1276"/>
      <w:tabs>
        <w:tab w:val="clear" w:pos="1134" w:leader="none"/>
        <w:tab w:val="num" w:pos="1276" w:leader="none"/>
      </w:tabs>
    </w:pPr>
    <w:rPr>
      <w:lang w:val="en-US" w:eastAsia="en-US"/>
    </w:rPr>
  </w:style>
  <w:style w:type="paragraph" w:styleId="979">
    <w:name w:val="Подподпункт"/>
    <w:basedOn w:val="978"/>
    <w:next w:val="979"/>
    <w:link w:val="980"/>
    <w:pPr>
      <w:ind w:left="1702" w:hanging="567"/>
      <w:tabs>
        <w:tab w:val="clear" w:pos="1276" w:leader="none"/>
        <w:tab w:val="num" w:pos="1702" w:leader="none"/>
      </w:tabs>
    </w:pPr>
  </w:style>
  <w:style w:type="character" w:styleId="980">
    <w:name w:val="Подподпункт Знак"/>
    <w:next w:val="980"/>
    <w:link w:val="979"/>
    <w:rPr>
      <w:sz w:val="28"/>
      <w:lang w:val="en-US" w:eastAsia="en-US"/>
    </w:rPr>
  </w:style>
  <w:style w:type="character" w:styleId="981">
    <w:name w:val="Основной текст с отступом Знак"/>
    <w:next w:val="981"/>
    <w:link w:val="969"/>
    <w:rPr>
      <w:rFonts w:ascii="Times New Roman CYR" w:hAnsi="Times New Roman CYR"/>
    </w:rPr>
  </w:style>
  <w:style w:type="paragraph" w:styleId="982">
    <w:name w:val="Абзац списка,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,Нумерованный спиков,UL"/>
    <w:basedOn w:val="949"/>
    <w:next w:val="982"/>
    <w:link w:val="992"/>
    <w:qFormat/>
    <w:pPr>
      <w:contextualSpacing/>
      <w:ind w:left="720"/>
    </w:pPr>
  </w:style>
  <w:style w:type="table" w:styleId="983">
    <w:name w:val="Сетка таблицы"/>
    <w:basedOn w:val="956"/>
    <w:next w:val="983"/>
    <w:link w:val="949"/>
    <w:uiPriority w:val="59"/>
    <w:tblPr/>
  </w:style>
  <w:style w:type="character" w:styleId="984">
    <w:name w:val="Основной текст_"/>
    <w:next w:val="984"/>
    <w:link w:val="985"/>
    <w:rPr>
      <w:sz w:val="18"/>
      <w:szCs w:val="18"/>
      <w:shd w:val="clear" w:color="auto" w:fill="ffffff"/>
    </w:rPr>
  </w:style>
  <w:style w:type="paragraph" w:styleId="985">
    <w:name w:val="Основной текст2"/>
    <w:basedOn w:val="949"/>
    <w:next w:val="985"/>
    <w:link w:val="984"/>
    <w:pPr>
      <w:ind w:firstLine="2280"/>
      <w:spacing w:after="240" w:line="235" w:lineRule="exact"/>
      <w:shd w:val="clear" w:color="auto" w:fill="ffffff"/>
      <w:widowControl w:val="off"/>
    </w:pPr>
    <w:rPr>
      <w:rFonts w:ascii="Times New Roman" w:hAnsi="Times New Roman"/>
      <w:sz w:val="18"/>
      <w:szCs w:val="18"/>
    </w:rPr>
  </w:style>
  <w:style w:type="paragraph" w:styleId="986">
    <w:name w:val="Основной текст с отступом 2"/>
    <w:basedOn w:val="949"/>
    <w:next w:val="986"/>
    <w:link w:val="987"/>
    <w:pPr>
      <w:ind w:left="283"/>
      <w:spacing w:after="120" w:line="480" w:lineRule="auto"/>
    </w:pPr>
  </w:style>
  <w:style w:type="character" w:styleId="987">
    <w:name w:val="Основной текст с отступом 2 Знак"/>
    <w:next w:val="987"/>
    <w:link w:val="986"/>
    <w:rPr>
      <w:rFonts w:ascii="Times New Roman CYR" w:hAnsi="Times New Roman CYR"/>
    </w:rPr>
  </w:style>
  <w:style w:type="character" w:styleId="988">
    <w:name w:val="Основной текст Знак,Основной текст таблиц Знак,в таблице Знак,таблицы Знак,в таблицах Знак, в таблице Знак, в таблицах Знак"/>
    <w:next w:val="988"/>
    <w:link w:val="962"/>
    <w:rPr>
      <w:rFonts w:ascii="Times New Roman CYR" w:hAnsi="Times New Roman CYR"/>
      <w:sz w:val="24"/>
    </w:rPr>
  </w:style>
  <w:style w:type="paragraph" w:styleId="989">
    <w:name w:val="FTN_таб"/>
    <w:basedOn w:val="949"/>
    <w:next w:val="989"/>
    <w:link w:val="949"/>
    <w:pPr>
      <w:jc w:val="both"/>
      <w:widowControl w:val="off"/>
      <w:tabs>
        <w:tab w:val="left" w:pos="709" w:leader="none"/>
      </w:tabs>
    </w:pPr>
    <w:rPr>
      <w:rFonts w:eastAsia="Arial Unicode MS"/>
      <w:sz w:val="22"/>
    </w:rPr>
  </w:style>
  <w:style w:type="character" w:styleId="990">
    <w:name w:val="Заголовок 9 Знак"/>
    <w:next w:val="990"/>
    <w:link w:val="954"/>
    <w:rPr>
      <w:sz w:val="24"/>
      <w:szCs w:val="24"/>
    </w:rPr>
  </w:style>
  <w:style w:type="character" w:styleId="991">
    <w:name w:val="Заголовок 3 Знак"/>
    <w:next w:val="991"/>
    <w:link w:val="952"/>
    <w:semiHidden/>
    <w:rPr>
      <w:rFonts w:ascii="Cambria" w:hAnsi="Cambria" w:eastAsia="Times New Roman" w:cs="Times New Roman"/>
      <w:b/>
      <w:bCs/>
      <w:sz w:val="26"/>
      <w:szCs w:val="26"/>
    </w:rPr>
  </w:style>
  <w:style w:type="character" w:styleId="992">
    <w:name w:val="Абзац списка Знак,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,UL Знак"/>
    <w:next w:val="992"/>
    <w:link w:val="982"/>
    <w:qFormat/>
    <w:rPr>
      <w:sz w:val="24"/>
      <w:szCs w:val="24"/>
    </w:rPr>
  </w:style>
  <w:style w:type="paragraph" w:styleId="993">
    <w:name w:val="Table Contents"/>
    <w:basedOn w:val="949"/>
    <w:next w:val="993"/>
    <w:link w:val="949"/>
    <w:pPr>
      <w:widowControl w:val="off"/>
      <w:suppressLineNumbers/>
    </w:pPr>
    <w:rPr>
      <w:rFonts w:eastAsia="Lucida Sans Unicode" w:cs="Tahoma"/>
      <w:lang w:bidi="ru-RU"/>
    </w:rPr>
  </w:style>
  <w:style w:type="character" w:styleId="994">
    <w:name w:val="Просмотренная гиперссылка"/>
    <w:next w:val="994"/>
    <w:link w:val="949"/>
    <w:rPr>
      <w:color w:val="800080"/>
      <w:u w:val="single"/>
    </w:rPr>
  </w:style>
  <w:style w:type="paragraph" w:styleId="995">
    <w:name w:val="Название объекта"/>
    <w:basedOn w:val="949"/>
    <w:next w:val="949"/>
    <w:link w:val="949"/>
    <w:semiHidden/>
    <w:unhideWhenUsed/>
    <w:qFormat/>
    <w:rPr>
      <w:b/>
      <w:bCs/>
      <w:sz w:val="20"/>
      <w:szCs w:val="20"/>
    </w:rPr>
  </w:style>
  <w:style w:type="character" w:styleId="996" w:default="1">
    <w:name w:val="Default Paragraph Font"/>
    <w:uiPriority w:val="1"/>
    <w:semiHidden/>
    <w:unhideWhenUsed/>
  </w:style>
  <w:style w:type="numbering" w:styleId="997" w:default="1">
    <w:name w:val="No List"/>
    <w:uiPriority w:val="99"/>
    <w:semiHidden/>
    <w:unhideWhenUsed/>
  </w:style>
  <w:style w:type="table" w:styleId="998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Р7-Офис/2024.4.1.625</Application>
  <Company>Home</Company>
  <DocSecurity>0</DocSecurity>
  <HyperlinksChanged>false</HyperlinksChanged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№ОК-11/5Б-2</dc:title>
  <dc:creator>Korotkina.OF</dc:creator>
  <cp:revision>41</cp:revision>
  <dcterms:created xsi:type="dcterms:W3CDTF">2023-03-09T08:39:00Z</dcterms:created>
  <dcterms:modified xsi:type="dcterms:W3CDTF">2025-04-11T10:11:58Z</dcterms:modified>
  <cp:version>1048576</cp:version>
</cp:coreProperties>
</file>